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lang w:val="en-US" w:eastAsia="zh-CN"/>
        </w:rPr>
        <w:t>《</w:t>
      </w:r>
      <w:r>
        <w:rPr>
          <w:rFonts w:ascii="方正小标宋简体" w:hAnsi="Times New Roman" w:eastAsia="方正小标宋简体" w:cs="Times New Roman"/>
          <w:sz w:val="44"/>
          <w:szCs w:val="44"/>
          <w:highlight w:val="none"/>
        </w:rPr>
        <w:t>大兴区西红门镇招商引资中介机构</w:t>
      </w:r>
    </w:p>
    <w:p>
      <w:pPr>
        <w:spacing w:line="560" w:lineRule="exact"/>
        <w:jc w:val="center"/>
        <w:rPr>
          <w:rFonts w:hint="eastAsia" w:ascii="方正小标宋简体" w:hAnsi="Times New Roman" w:eastAsia="方正小标宋简体" w:cs="Times New Roman"/>
          <w:sz w:val="44"/>
          <w:szCs w:val="44"/>
          <w:highlight w:val="none"/>
          <w:lang w:eastAsia="zh-CN"/>
        </w:rPr>
      </w:pPr>
      <w:r>
        <w:rPr>
          <w:rFonts w:ascii="方正小标宋简体" w:hAnsi="Times New Roman" w:eastAsia="方正小标宋简体" w:cs="Times New Roman"/>
          <w:sz w:val="44"/>
          <w:szCs w:val="44"/>
          <w:highlight w:val="none"/>
        </w:rPr>
        <w:t>奖励办法</w:t>
      </w:r>
      <w:r>
        <w:rPr>
          <w:rFonts w:hint="eastAsia" w:ascii="方正小标宋简体" w:hAnsi="Times New Roman" w:eastAsia="方正小标宋简体" w:cs="Times New Roman"/>
          <w:sz w:val="44"/>
          <w:szCs w:val="44"/>
          <w:highlight w:val="none"/>
        </w:rPr>
        <w:t>（试行）</w:t>
      </w:r>
      <w:r>
        <w:rPr>
          <w:rFonts w:hint="eastAsia" w:ascii="方正小标宋简体" w:hAnsi="Times New Roman" w:eastAsia="方正小标宋简体" w:cs="Times New Roman"/>
          <w:sz w:val="44"/>
          <w:szCs w:val="44"/>
          <w:highlight w:val="none"/>
          <w:lang w:eastAsia="zh-CN"/>
        </w:rPr>
        <w:t>》</w:t>
      </w:r>
    </w:p>
    <w:p>
      <w:pPr>
        <w:spacing w:line="560" w:lineRule="exact"/>
        <w:rPr>
          <w:rFonts w:ascii="方正小标宋简体" w:hAnsi="Times New Roman" w:eastAsia="方正小标宋简体" w:cs="Times New Roman"/>
          <w:sz w:val="13"/>
          <w:szCs w:val="13"/>
          <w:highlight w:val="none"/>
        </w:rPr>
      </w:pPr>
      <w:bookmarkStart w:id="0" w:name="_GoBack"/>
      <w:bookmarkEnd w:id="0"/>
    </w:p>
    <w:p>
      <w:pPr>
        <w:spacing w:line="560" w:lineRule="exact"/>
        <w:ind w:firstLine="3213" w:firstLineChars="1000"/>
        <w:rPr>
          <w:rFonts w:ascii="黑体" w:hAnsi="黑体" w:eastAsia="黑体" w:cs="黑体"/>
          <w:b/>
          <w:bCs/>
          <w:sz w:val="32"/>
          <w:szCs w:val="32"/>
          <w:highlight w:val="none"/>
        </w:rPr>
      </w:pPr>
      <w:r>
        <w:rPr>
          <w:rFonts w:hint="eastAsia" w:ascii="黑体" w:hAnsi="黑体" w:eastAsia="黑体" w:cs="黑体"/>
          <w:b/>
          <w:bCs/>
          <w:sz w:val="32"/>
          <w:szCs w:val="32"/>
          <w:highlight w:val="none"/>
        </w:rPr>
        <w:t>第一章 总 则</w:t>
      </w:r>
    </w:p>
    <w:p>
      <w:pPr>
        <w:spacing w:line="560" w:lineRule="exact"/>
        <w:ind w:firstLine="640" w:firstLineChars="200"/>
        <w:rPr>
          <w:rFonts w:ascii="仿宋_GB2312" w:hAnsi="黑体" w:eastAsia="仿宋_GB2312" w:cs="黑体"/>
          <w:sz w:val="32"/>
          <w:szCs w:val="32"/>
          <w:highlight w:val="none"/>
        </w:rPr>
      </w:pPr>
      <w:r>
        <w:rPr>
          <w:rFonts w:hint="eastAsia" w:ascii="楷体_GB2312" w:hAnsi="楷体_GB2312" w:eastAsia="楷体_GB2312" w:cs="楷体_GB2312"/>
          <w:sz w:val="32"/>
          <w:szCs w:val="32"/>
          <w:highlight w:val="none"/>
        </w:rPr>
        <w:t xml:space="preserve">第一条 </w:t>
      </w:r>
      <w:r>
        <w:rPr>
          <w:rFonts w:hint="eastAsia" w:ascii="仿宋_GB2312" w:hAnsi="黑体" w:eastAsia="仿宋_GB2312" w:cs="黑体"/>
          <w:sz w:val="32"/>
          <w:szCs w:val="32"/>
          <w:highlight w:val="none"/>
        </w:rPr>
        <w:t>为进一步推进西红门镇经济高质量发展，加快构建高精尖产业格局，激发社会力量参与招商引资工作，共同推动优质企业入区发展，结合区域发展实际，制定本办法。</w:t>
      </w:r>
    </w:p>
    <w:p>
      <w:pPr>
        <w:spacing w:line="560" w:lineRule="exact"/>
        <w:ind w:firstLine="640" w:firstLineChars="200"/>
        <w:rPr>
          <w:rFonts w:ascii="黑体" w:hAnsi="黑体" w:eastAsia="黑体" w:cs="黑体"/>
          <w:sz w:val="32"/>
          <w:szCs w:val="32"/>
          <w:highlight w:val="none"/>
        </w:rPr>
      </w:pPr>
      <w:r>
        <w:rPr>
          <w:rFonts w:ascii="楷体_GB2312" w:hAnsi="楷体_GB2312" w:eastAsia="楷体_GB2312" w:cs="楷体_GB2312"/>
          <w:sz w:val="32"/>
          <w:szCs w:val="32"/>
          <w:highlight w:val="none"/>
        </w:rPr>
        <w:t>第二条</w:t>
      </w:r>
      <w:r>
        <w:rPr>
          <w:rFonts w:ascii="仿宋_GB2312" w:hAnsi="黑体" w:eastAsia="仿宋_GB2312" w:cs="黑体"/>
          <w:sz w:val="32"/>
          <w:szCs w:val="32"/>
          <w:highlight w:val="none"/>
        </w:rPr>
        <w:t xml:space="preserve"> 本办法奖励对象为在招商引资过程中发挥重要作用的各类机构或经济组织</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以下统称中介机构）</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包括但不限于国内外商协会</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咨询公司</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金融机构</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律师事务所</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会计师事务所等</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自然人除外。</w:t>
      </w:r>
      <w:r>
        <w:rPr>
          <w:rFonts w:ascii="仿宋_GB2312" w:hAnsi="黑体" w:eastAsia="仿宋_GB2312" w:cs="黑体"/>
          <w:sz w:val="32"/>
          <w:szCs w:val="32"/>
          <w:highlight w:val="none"/>
        </w:rPr>
        <w:br w:type="textWrapping"/>
      </w:r>
      <w:r>
        <w:rPr>
          <w:rFonts w:ascii="黑体" w:hAnsi="黑体" w:eastAsia="黑体" w:cs="黑体"/>
          <w:sz w:val="32"/>
          <w:szCs w:val="32"/>
          <w:highlight w:val="none"/>
        </w:rPr>
        <w:t xml:space="preserve">              </w:t>
      </w:r>
    </w:p>
    <w:p>
      <w:pPr>
        <w:spacing w:line="560" w:lineRule="exact"/>
        <w:ind w:firstLine="2249" w:firstLineChars="700"/>
        <w:rPr>
          <w:rFonts w:ascii="仿宋_GB2312" w:hAnsi="黑体" w:eastAsia="仿宋_GB2312" w:cs="黑体"/>
          <w:sz w:val="32"/>
          <w:szCs w:val="32"/>
          <w:highlight w:val="none"/>
        </w:rPr>
      </w:pPr>
      <w:r>
        <w:rPr>
          <w:rFonts w:ascii="黑体" w:hAnsi="黑体" w:eastAsia="黑体" w:cs="黑体"/>
          <w:b/>
          <w:bCs/>
          <w:sz w:val="32"/>
          <w:szCs w:val="32"/>
          <w:highlight w:val="none"/>
        </w:rPr>
        <w:t>第二章 奖励条件与标准</w:t>
      </w:r>
      <w:r>
        <w:rPr>
          <w:rFonts w:ascii="仿宋_GB2312" w:hAnsi="仿宋_GB2312" w:eastAsia="仿宋_GB2312"/>
          <w:color w:val="000000"/>
          <w:sz w:val="32"/>
          <w:szCs w:val="32"/>
          <w:highlight w:val="none"/>
        </w:rPr>
        <w:br w:type="textWrapping"/>
      </w:r>
      <w:r>
        <w:rPr>
          <w:rFonts w:hint="eastAsia" w:ascii="仿宋_GB2312" w:hAnsi="仿宋_GB2312" w:eastAsia="仿宋_GB2312"/>
          <w:color w:val="000000"/>
          <w:sz w:val="32"/>
          <w:szCs w:val="32"/>
          <w:highlight w:val="none"/>
        </w:rPr>
        <w:t xml:space="preserve"> </w:t>
      </w:r>
      <w:r>
        <w:rPr>
          <w:rFonts w:ascii="仿宋_GB2312" w:hAnsi="仿宋_GB2312" w:eastAsia="仿宋_GB2312"/>
          <w:color w:val="000000"/>
          <w:sz w:val="32"/>
          <w:szCs w:val="32"/>
          <w:highlight w:val="none"/>
        </w:rPr>
        <w:t xml:space="preserve">   </w:t>
      </w:r>
      <w:r>
        <w:rPr>
          <w:rFonts w:ascii="楷体_GB2312" w:hAnsi="楷体_GB2312" w:eastAsia="楷体_GB2312" w:cs="楷体_GB2312"/>
          <w:sz w:val="32"/>
          <w:szCs w:val="32"/>
          <w:highlight w:val="none"/>
        </w:rPr>
        <w:t xml:space="preserve">第三条 </w:t>
      </w:r>
      <w:r>
        <w:rPr>
          <w:rFonts w:ascii="仿宋_GB2312" w:hAnsi="黑体" w:eastAsia="仿宋_GB2312" w:cs="黑体"/>
          <w:sz w:val="32"/>
          <w:szCs w:val="32"/>
          <w:highlight w:val="none"/>
        </w:rPr>
        <w:t>中介机构引进的项目</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或企业</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下同</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须同时满足下列条件：</w:t>
      </w:r>
      <w:r>
        <w:rPr>
          <w:rFonts w:ascii="仿宋_GB2312" w:hAnsi="仿宋_GB2312" w:eastAsia="仿宋_GB2312"/>
          <w:color w:val="000000"/>
          <w:sz w:val="32"/>
          <w:szCs w:val="32"/>
          <w:highlight w:val="none"/>
        </w:rPr>
        <w:br w:type="textWrapping"/>
      </w:r>
      <w:r>
        <w:rPr>
          <w:rFonts w:hint="eastAsia" w:ascii="仿宋_GB2312" w:hAnsi="黑体" w:eastAsia="仿宋_GB2312" w:cs="黑体"/>
          <w:sz w:val="32"/>
          <w:szCs w:val="32"/>
          <w:highlight w:val="none"/>
        </w:rPr>
        <w:t xml:space="preserve"> </w:t>
      </w:r>
      <w:r>
        <w:rPr>
          <w:rFonts w:ascii="仿宋_GB2312" w:hAnsi="黑体" w:eastAsia="仿宋_GB2312" w:cs="黑体"/>
          <w:sz w:val="32"/>
          <w:szCs w:val="32"/>
          <w:highlight w:val="none"/>
        </w:rPr>
        <w:t xml:space="preserve">  </w:t>
      </w:r>
      <w:r>
        <w:rPr>
          <w:rFonts w:hint="eastAsia" w:ascii="仿宋_GB2312" w:hAnsi="黑体" w:eastAsia="仿宋_GB2312" w:cs="黑体"/>
          <w:sz w:val="32"/>
          <w:szCs w:val="32"/>
          <w:highlight w:val="none"/>
        </w:rPr>
        <w:t>（一）</w:t>
      </w:r>
      <w:r>
        <w:rPr>
          <w:rFonts w:ascii="仿宋_GB2312" w:hAnsi="黑体" w:eastAsia="仿宋_GB2312" w:cs="黑体"/>
          <w:sz w:val="32"/>
          <w:szCs w:val="32"/>
          <w:highlight w:val="none"/>
        </w:rPr>
        <w:t>符合国家</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北京市及大兴区产业相关要求</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即： 不引入国家淘汰类产业项目</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《北京市新增产业的禁止和限制目录》内的项目。</w:t>
      </w:r>
      <w:r>
        <w:rPr>
          <w:rFonts w:hint="eastAsia" w:ascii="仿宋_GB2312" w:hAnsi="黑体" w:eastAsia="仿宋_GB2312" w:cs="黑体"/>
          <w:sz w:val="32"/>
          <w:szCs w:val="32"/>
          <w:highlight w:val="none"/>
        </w:rPr>
        <w:t>不含区内现有企业增资项目、住宅类房地产项目。</w:t>
      </w:r>
    </w:p>
    <w:p>
      <w:pPr>
        <w:spacing w:line="560" w:lineRule="exact"/>
        <w:ind w:firstLine="640" w:firstLineChars="200"/>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（二）</w:t>
      </w:r>
      <w:r>
        <w:rPr>
          <w:rFonts w:ascii="仿宋_GB2312" w:hAnsi="黑体" w:eastAsia="仿宋_GB2312" w:cs="黑体"/>
          <w:sz w:val="32"/>
          <w:szCs w:val="32"/>
          <w:highlight w:val="none"/>
        </w:rPr>
        <w:t>具有独立法人资格、 实行独立核算。</w:t>
      </w:r>
    </w:p>
    <w:p>
      <w:pPr>
        <w:spacing w:line="560" w:lineRule="exact"/>
        <w:ind w:firstLine="640" w:firstLineChars="200"/>
        <w:rPr>
          <w:rFonts w:ascii="仿宋_GB2312" w:hAnsi="黑体" w:eastAsia="仿宋_GB2312" w:cs="黑体"/>
          <w:sz w:val="32"/>
          <w:szCs w:val="32"/>
          <w:highlight w:val="none"/>
        </w:rPr>
      </w:pPr>
      <w:r>
        <w:rPr>
          <w:rFonts w:hint="eastAsia" w:ascii="楷体_GB2312" w:hAnsi="楷体_GB2312" w:eastAsia="楷体_GB2312" w:cs="楷体_GB2312"/>
          <w:sz w:val="32"/>
          <w:szCs w:val="32"/>
          <w:highlight w:val="none"/>
        </w:rPr>
        <w:t>第四条</w:t>
      </w:r>
      <w:r>
        <w:rPr>
          <w:rFonts w:ascii="仿宋_GB2312" w:hAnsi="黑体" w:eastAsia="仿宋_GB2312" w:cs="黑体"/>
          <w:sz w:val="32"/>
          <w:szCs w:val="32"/>
          <w:highlight w:val="none"/>
        </w:rPr>
        <w:t xml:space="preserve">  土地使用权奖励</w:t>
      </w:r>
    </w:p>
    <w:p>
      <w:pPr>
        <w:spacing w:line="560" w:lineRule="exact"/>
        <w:ind w:firstLine="640" w:firstLineChars="200"/>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项目在大兴区西红门镇取得集体经营性建设用地、商业用地</w:t>
      </w:r>
      <w:r>
        <w:rPr>
          <w:rFonts w:ascii="仿宋_GB2312" w:hAnsi="黑体" w:eastAsia="仿宋_GB2312" w:cs="黑体"/>
          <w:sz w:val="32"/>
          <w:szCs w:val="32"/>
          <w:highlight w:val="none"/>
        </w:rPr>
        <w:t>等用地使用权，项目方土地价款到账后，按土地成交价款的3‰给予一次性奖励，金额最高500万元。</w:t>
      </w:r>
    </w:p>
    <w:p>
      <w:pPr>
        <w:widowControl/>
        <w:spacing w:line="560" w:lineRule="exact"/>
        <w:ind w:firstLine="64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第五条 中介机构引荐奖励</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中介机构引荐的重大项目落地后，可申请享受本项奖励：</w:t>
      </w:r>
    </w:p>
    <w:p>
      <w:pPr>
        <w:pStyle w:val="16"/>
        <w:widowControl/>
        <w:numPr>
          <w:ilvl w:val="0"/>
          <w:numId w:val="1"/>
        </w:numPr>
        <w:spacing w:line="560" w:lineRule="exact"/>
        <w:ind w:firstLineChars="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重大项目引荐奖励。</w:t>
      </w:r>
    </w:p>
    <w:p>
      <w:pPr>
        <w:widowControl/>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w:t>
      </w:r>
      <w:r>
        <w:rPr>
          <w:rFonts w:ascii="仿宋_GB2312" w:hAnsi="宋体" w:eastAsia="仿宋_GB2312" w:cs="宋体"/>
          <w:kern w:val="0"/>
          <w:sz w:val="32"/>
          <w:szCs w:val="32"/>
          <w:highlight w:val="none"/>
        </w:rPr>
        <w:t>引荐世界500强及其总部企业，一次性奖励50万元；引荐中国500强及总部企业、央企及其控股子公司、中国民营企业100强及其总部企业，一次性奖励30万元；引荐独角兽企业主体、国家级专精特新“小巨人”企业主体，一次性奖励10万元。</w:t>
      </w:r>
    </w:p>
    <w:p>
      <w:pPr>
        <w:widowControl/>
        <w:spacing w:line="560" w:lineRule="exact"/>
        <w:ind w:firstLine="640"/>
        <w:rPr>
          <w:rFonts w:ascii="仿宋_GB2312" w:hAnsi="宋体" w:eastAsia="仿宋_GB2312" w:cs="宋体"/>
          <w:kern w:val="0"/>
          <w:sz w:val="32"/>
          <w:szCs w:val="32"/>
          <w:highlight w:val="none"/>
        </w:rPr>
      </w:pP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rPr>
        <w:t>、</w:t>
      </w:r>
      <w:r>
        <w:rPr>
          <w:rFonts w:ascii="仿宋_GB2312" w:hAnsi="宋体" w:eastAsia="仿宋_GB2312" w:cs="宋体"/>
          <w:kern w:val="0"/>
          <w:sz w:val="32"/>
          <w:szCs w:val="32"/>
          <w:highlight w:val="none"/>
        </w:rPr>
        <w:t>引荐境内A股主板上市的企业主体，一次性奖励30万元；引荐创业板、科创板、北交所上市的企业主体和境外知名资本市场上市的企业主体，一次性奖励10万元。</w:t>
      </w:r>
    </w:p>
    <w:p>
      <w:pPr>
        <w:pStyle w:val="16"/>
        <w:widowControl/>
        <w:numPr>
          <w:ilvl w:val="0"/>
          <w:numId w:val="1"/>
        </w:numPr>
        <w:spacing w:line="560" w:lineRule="exact"/>
        <w:ind w:firstLineChars="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创新平台引荐奖励</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中介机构引荐的创新平台主体，以及自落地之日起三个自然年内成为创新平台的项目，可申请享受本项奖励：</w:t>
      </w:r>
    </w:p>
    <w:p>
      <w:pPr>
        <w:widowControl/>
        <w:spacing w:line="560" w:lineRule="exact"/>
        <w:ind w:firstLine="640"/>
        <w:rPr>
          <w:rFonts w:ascii="仿宋_GB2312" w:hAnsi="宋体" w:eastAsia="仿宋_GB2312" w:cs="宋体"/>
          <w:kern w:val="0"/>
          <w:sz w:val="32"/>
          <w:szCs w:val="32"/>
          <w:highlight w:val="none"/>
        </w:rPr>
      </w:pPr>
      <w:r>
        <w:rPr>
          <w:rFonts w:ascii="仿宋_GB2312" w:hAnsi="宋体" w:eastAsia="仿宋_GB2312" w:cs="宋体"/>
          <w:kern w:val="0"/>
          <w:sz w:val="32"/>
          <w:szCs w:val="32"/>
          <w:highlight w:val="none"/>
        </w:rPr>
        <w:t>1</w:t>
      </w:r>
      <w:r>
        <w:rPr>
          <w:rFonts w:hint="eastAsia" w:ascii="仿宋_GB2312" w:hAnsi="宋体" w:eastAsia="仿宋_GB2312" w:cs="宋体"/>
          <w:kern w:val="0"/>
          <w:sz w:val="32"/>
          <w:szCs w:val="32"/>
          <w:highlight w:val="none"/>
        </w:rPr>
        <w:t>、</w:t>
      </w:r>
      <w:r>
        <w:rPr>
          <w:rFonts w:ascii="仿宋_GB2312" w:hAnsi="宋体" w:eastAsia="仿宋_GB2312" w:cs="宋体"/>
          <w:kern w:val="0"/>
          <w:sz w:val="32"/>
          <w:szCs w:val="32"/>
          <w:highlight w:val="none"/>
        </w:rPr>
        <w:t>引荐的项目为国家级重点实验室、国家级工程研究中心、国家级产业创新中心、国家级企业技术中心，一次性奖励30万元；</w:t>
      </w:r>
    </w:p>
    <w:p>
      <w:pPr>
        <w:widowControl/>
        <w:spacing w:line="560" w:lineRule="exact"/>
        <w:ind w:firstLine="640"/>
        <w:rPr>
          <w:rFonts w:ascii="仿宋_GB2312" w:hAnsi="宋体" w:eastAsia="仿宋_GB2312" w:cs="宋体"/>
          <w:kern w:val="0"/>
          <w:sz w:val="32"/>
          <w:szCs w:val="32"/>
          <w:highlight w:val="none"/>
        </w:rPr>
      </w:pPr>
      <w:r>
        <w:rPr>
          <w:rFonts w:ascii="仿宋_GB2312" w:hAnsi="宋体" w:eastAsia="仿宋_GB2312" w:cs="宋体"/>
          <w:kern w:val="0"/>
          <w:sz w:val="32"/>
          <w:szCs w:val="32"/>
          <w:highlight w:val="none"/>
        </w:rPr>
        <w:t>2</w:t>
      </w:r>
      <w:r>
        <w:rPr>
          <w:rFonts w:hint="eastAsia" w:ascii="仿宋_GB2312" w:hAnsi="宋体" w:eastAsia="仿宋_GB2312" w:cs="宋体"/>
          <w:kern w:val="0"/>
          <w:sz w:val="32"/>
          <w:szCs w:val="32"/>
          <w:highlight w:val="none"/>
        </w:rPr>
        <w:t>、</w:t>
      </w:r>
      <w:r>
        <w:rPr>
          <w:rFonts w:ascii="仿宋_GB2312" w:hAnsi="宋体" w:eastAsia="仿宋_GB2312" w:cs="宋体"/>
          <w:kern w:val="0"/>
          <w:sz w:val="32"/>
          <w:szCs w:val="32"/>
          <w:highlight w:val="none"/>
        </w:rPr>
        <w:t>引荐的项目为省市级重点实验室、工程研究中心、产业创新中心、企业技术中心，一次性奖励20万元；</w:t>
      </w:r>
    </w:p>
    <w:p>
      <w:pPr>
        <w:widowControl/>
        <w:spacing w:line="560" w:lineRule="exact"/>
        <w:ind w:firstLine="640"/>
        <w:rPr>
          <w:rFonts w:ascii="仿宋_GB2312" w:hAnsi="宋体" w:eastAsia="仿宋_GB2312" w:cs="宋体"/>
          <w:kern w:val="0"/>
          <w:sz w:val="32"/>
          <w:szCs w:val="32"/>
          <w:highlight w:val="none"/>
        </w:rPr>
      </w:pPr>
      <w:r>
        <w:rPr>
          <w:rFonts w:ascii="仿宋_GB2312" w:hAnsi="宋体" w:eastAsia="仿宋_GB2312" w:cs="宋体"/>
          <w:kern w:val="0"/>
          <w:sz w:val="32"/>
          <w:szCs w:val="32"/>
          <w:highlight w:val="none"/>
        </w:rPr>
        <w:t>3</w:t>
      </w:r>
      <w:r>
        <w:rPr>
          <w:rFonts w:hint="eastAsia" w:ascii="仿宋_GB2312" w:hAnsi="宋体" w:eastAsia="仿宋_GB2312" w:cs="宋体"/>
          <w:kern w:val="0"/>
          <w:sz w:val="32"/>
          <w:szCs w:val="32"/>
          <w:highlight w:val="none"/>
        </w:rPr>
        <w:t>、</w:t>
      </w:r>
      <w:r>
        <w:rPr>
          <w:rFonts w:ascii="仿宋_GB2312" w:hAnsi="宋体" w:eastAsia="仿宋_GB2312" w:cs="宋体"/>
          <w:kern w:val="0"/>
          <w:sz w:val="32"/>
          <w:szCs w:val="32"/>
          <w:highlight w:val="none"/>
        </w:rPr>
        <w:t>引荐的项目为国家级科技企业孵化器、国家级大学科技园，一次性奖励10万元。</w:t>
      </w:r>
    </w:p>
    <w:p>
      <w:pPr>
        <w:widowControl/>
        <w:spacing w:line="560" w:lineRule="exact"/>
        <w:ind w:firstLine="640"/>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第六条 中介机构引进奖励</w:t>
      </w:r>
    </w:p>
    <w:p>
      <w:pPr>
        <w:widowControl/>
        <w:spacing w:line="560" w:lineRule="exact"/>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中介机构引进的项目自落地之日起三个自然年内，任意一年综合贡献</w:t>
      </w:r>
      <w:r>
        <w:rPr>
          <w:rFonts w:ascii="仿宋_GB2312" w:hAnsi="宋体" w:eastAsia="仿宋_GB2312" w:cs="宋体"/>
          <w:kern w:val="0"/>
          <w:sz w:val="32"/>
          <w:szCs w:val="32"/>
          <w:highlight w:val="none"/>
        </w:rPr>
        <w:t>达到奖励标准后，可申请享受本项奖励。</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（一）综合贡献奖励。中介机构引进的项目综合贡献达到</w:t>
      </w:r>
      <w:r>
        <w:rPr>
          <w:rFonts w:ascii="仿宋_GB2312" w:hAnsi="宋体" w:eastAsia="仿宋_GB2312" w:cs="宋体"/>
          <w:kern w:val="0"/>
          <w:sz w:val="32"/>
          <w:szCs w:val="32"/>
          <w:highlight w:val="none"/>
        </w:rPr>
        <w:t>100万元（含）以上，按照上一年度</w:t>
      </w:r>
      <w:r>
        <w:rPr>
          <w:rFonts w:hint="eastAsia" w:ascii="仿宋_GB2312" w:hAnsi="宋体" w:eastAsia="仿宋_GB2312" w:cs="宋体"/>
          <w:kern w:val="0"/>
          <w:sz w:val="32"/>
          <w:szCs w:val="32"/>
          <w:highlight w:val="none"/>
        </w:rPr>
        <w:t>镇域</w:t>
      </w:r>
      <w:r>
        <w:rPr>
          <w:rFonts w:ascii="仿宋_GB2312" w:hAnsi="宋体" w:eastAsia="仿宋_GB2312" w:cs="宋体"/>
          <w:kern w:val="0"/>
          <w:sz w:val="32"/>
          <w:szCs w:val="32"/>
          <w:highlight w:val="none"/>
        </w:rPr>
        <w:t>综合贡献的15%,对中介机构给予</w:t>
      </w:r>
      <w:r>
        <w:rPr>
          <w:rFonts w:hint="eastAsia" w:ascii="仿宋_GB2312" w:hAnsi="宋体" w:eastAsia="仿宋_GB2312" w:cs="宋体"/>
          <w:kern w:val="0"/>
          <w:sz w:val="32"/>
          <w:szCs w:val="32"/>
          <w:highlight w:val="none"/>
        </w:rPr>
        <w:t>一次性</w:t>
      </w:r>
      <w:r>
        <w:rPr>
          <w:rFonts w:ascii="仿宋_GB2312" w:hAnsi="宋体" w:eastAsia="仿宋_GB2312" w:cs="宋体"/>
          <w:kern w:val="0"/>
          <w:sz w:val="32"/>
          <w:szCs w:val="32"/>
          <w:highlight w:val="none"/>
        </w:rPr>
        <w:t>奖励，奖励金额最高500万元。</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（二）京外引进奖励。</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中介机构引进京外企业主体，一次性奖励</w:t>
      </w:r>
      <w:r>
        <w:rPr>
          <w:rFonts w:ascii="仿宋_GB2312" w:hAnsi="宋体" w:eastAsia="仿宋_GB2312" w:cs="宋体"/>
          <w:kern w:val="0"/>
          <w:sz w:val="32"/>
          <w:szCs w:val="32"/>
          <w:highlight w:val="none"/>
        </w:rPr>
        <w:t>20万元。</w:t>
      </w:r>
    </w:p>
    <w:p>
      <w:pPr>
        <w:widowControl/>
        <w:spacing w:line="560" w:lineRule="exact"/>
        <w:ind w:firstLine="640"/>
        <w:rPr>
          <w:rFonts w:ascii="仿宋_GB2312" w:hAnsi="宋体" w:eastAsia="仿宋_GB2312" w:cs="宋体"/>
          <w:kern w:val="0"/>
          <w:sz w:val="32"/>
          <w:szCs w:val="32"/>
          <w:highlight w:val="none"/>
        </w:rPr>
      </w:pPr>
      <w:r>
        <w:rPr>
          <w:rFonts w:hint="eastAsia" w:ascii="楷体_GB2312" w:hAnsi="楷体_GB2312" w:eastAsia="楷体_GB2312" w:cs="楷体_GB2312"/>
          <w:sz w:val="32"/>
          <w:szCs w:val="32"/>
          <w:highlight w:val="none"/>
        </w:rPr>
        <w:t xml:space="preserve">第七条 </w:t>
      </w:r>
      <w:r>
        <w:rPr>
          <w:rFonts w:hint="eastAsia" w:ascii="仿宋_GB2312" w:hAnsi="宋体" w:eastAsia="仿宋_GB2312" w:cs="宋体"/>
          <w:kern w:val="0"/>
          <w:sz w:val="32"/>
          <w:szCs w:val="32"/>
          <w:highlight w:val="none"/>
        </w:rPr>
        <w:t>特殊贡献奖励。</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引进的项目在推动经济高质量发展、促进产业转型升级、构建高精尖产业结构过程中做出突出贡献，且不适用本办法奖励的，经镇产业工作领导小组认定，可采取“一事一议”方式，对中介机构给予适当奖励。　</w:t>
      </w:r>
    </w:p>
    <w:p>
      <w:pPr>
        <w:spacing w:line="560" w:lineRule="exact"/>
        <w:ind w:firstLine="2249" w:firstLineChars="700"/>
        <w:rPr>
          <w:rFonts w:ascii="黑体" w:hAnsi="黑体" w:eastAsia="黑体" w:cs="黑体"/>
          <w:b/>
          <w:bCs/>
          <w:sz w:val="32"/>
          <w:szCs w:val="32"/>
          <w:highlight w:val="none"/>
        </w:rPr>
      </w:pPr>
    </w:p>
    <w:p>
      <w:pPr>
        <w:spacing w:line="560" w:lineRule="exact"/>
        <w:ind w:firstLine="2249" w:firstLineChars="700"/>
        <w:rPr>
          <w:rFonts w:ascii="黑体" w:hAnsi="黑体" w:eastAsia="黑体" w:cs="黑体"/>
          <w:sz w:val="32"/>
          <w:szCs w:val="32"/>
          <w:highlight w:val="none"/>
        </w:rPr>
      </w:pPr>
      <w:r>
        <w:rPr>
          <w:rFonts w:hint="eastAsia" w:ascii="黑体" w:hAnsi="黑体" w:eastAsia="黑体" w:cs="黑体"/>
          <w:b/>
          <w:bCs/>
          <w:sz w:val="32"/>
          <w:szCs w:val="32"/>
          <w:highlight w:val="none"/>
        </w:rPr>
        <w:t>第三章 奖励选择与兑现</w:t>
      </w:r>
    </w:p>
    <w:p>
      <w:pPr>
        <w:spacing w:line="560" w:lineRule="exact"/>
        <w:ind w:firstLine="640" w:firstLineChars="200"/>
        <w:rPr>
          <w:rFonts w:ascii="黑体" w:hAnsi="黑体" w:eastAsia="黑体" w:cs="黑体"/>
          <w:sz w:val="32"/>
          <w:szCs w:val="32"/>
          <w:highlight w:val="none"/>
        </w:rPr>
      </w:pPr>
      <w:r>
        <w:rPr>
          <w:rFonts w:hint="eastAsia" w:ascii="楷体_GB2312" w:hAnsi="楷体_GB2312" w:eastAsia="楷体_GB2312" w:cs="楷体_GB2312"/>
          <w:sz w:val="32"/>
          <w:szCs w:val="32"/>
          <w:highlight w:val="none"/>
        </w:rPr>
        <w:t xml:space="preserve">第八条 </w:t>
      </w:r>
      <w:r>
        <w:rPr>
          <w:rFonts w:hint="eastAsia" w:ascii="仿宋_GB2312" w:hAnsi="宋体" w:eastAsia="仿宋_GB2312" w:cs="宋体"/>
          <w:kern w:val="0"/>
          <w:sz w:val="32"/>
          <w:szCs w:val="32"/>
          <w:highlight w:val="none"/>
        </w:rPr>
        <w:t>奖励选择：</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（一）一个项目仅可由一个中介机构申请奖励，若同一项目由多个中介机构共同协助引进，须由项目方书面确定唯一中介机构申请奖励。</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（二）本办法可与《大兴区招商引资中介机构奖励办法》同时享受。</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（三）本办法第四条与第五条、第六条不可叠加享受。</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（四）本办法第五条、第六条按照“就高不重复”原则择一申请奖励。</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（五）针对同一项目，本办法第五条、第六条可叠加申请 , 即已享受第五条引荐奖励的项目，可在项目落地之日起三个自然年内，任意一年综合贡献达到第六条奖励标准后，申请补足差额部分。</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（六）针对第六条第（一）条，中介机构可在一个自然年内累计引进5个（含）以内的项目达到标准后，按项目包形式申请奖励。</w:t>
      </w:r>
    </w:p>
    <w:p>
      <w:pPr>
        <w:widowControl/>
        <w:spacing w:line="56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（七）本办法中同一项目奖励金额累计最高不超过</w:t>
      </w:r>
      <w:r>
        <w:rPr>
          <w:rFonts w:ascii="仿宋_GB2312" w:hAnsi="宋体" w:eastAsia="仿宋_GB2312" w:cs="宋体"/>
          <w:kern w:val="0"/>
          <w:sz w:val="32"/>
          <w:szCs w:val="32"/>
          <w:highlight w:val="none"/>
        </w:rPr>
        <w:t>5</w:t>
      </w:r>
      <w:r>
        <w:rPr>
          <w:rFonts w:hint="eastAsia" w:ascii="仿宋_GB2312" w:hAnsi="宋体" w:eastAsia="仿宋_GB2312" w:cs="宋体"/>
          <w:kern w:val="0"/>
          <w:sz w:val="32"/>
          <w:szCs w:val="32"/>
          <w:highlight w:val="none"/>
        </w:rPr>
        <w:t>00万元。</w:t>
      </w:r>
    </w:p>
    <w:p>
      <w:pPr>
        <w:pStyle w:val="7"/>
        <w:shd w:val="clear" w:color="auto" w:fill="FFFFFF"/>
        <w:spacing w:before="0" w:beforeAutospacing="0" w:after="150" w:afterAutospacing="0" w:line="390" w:lineRule="atLeast"/>
        <w:jc w:val="both"/>
        <w:rPr>
          <w:rFonts w:ascii="微软雅黑" w:hAnsi="微软雅黑" w:eastAsia="微软雅黑"/>
          <w:color w:val="323232"/>
          <w:highlight w:val="none"/>
        </w:rPr>
      </w:pPr>
      <w:r>
        <w:rPr>
          <w:rFonts w:hint="eastAsia" w:ascii="微软雅黑" w:hAnsi="微软雅黑" w:eastAsia="微软雅黑"/>
          <w:color w:val="323232"/>
          <w:highlight w:val="none"/>
        </w:rPr>
        <w:t xml:space="preserve">　　 </w:t>
      </w:r>
      <w:r>
        <w:rPr>
          <w:rFonts w:hint="eastAsia" w:ascii="楷体_GB2312" w:hAnsi="楷体_GB2312" w:eastAsia="楷体_GB2312" w:cs="楷体_GB2312"/>
          <w:kern w:val="2"/>
          <w:sz w:val="32"/>
          <w:szCs w:val="32"/>
          <w:highlight w:val="none"/>
        </w:rPr>
        <w:t xml:space="preserve">第九条 </w:t>
      </w:r>
      <w:r>
        <w:rPr>
          <w:rFonts w:hint="eastAsia" w:ascii="仿宋_GB2312" w:eastAsia="仿宋_GB2312"/>
          <w:sz w:val="32"/>
          <w:szCs w:val="32"/>
          <w:highlight w:val="none"/>
        </w:rPr>
        <w:t>奖励申请与兑现。申请奖励的中介机构应按要求提交备案材料至西红门镇经济发展办公室（产业）。兑现工作每年进行一次，中介机构应按要求提供真实材料，西红门镇产业领导小组负责评审组织工作。奖励资金由镇级财政承担。</w:t>
      </w:r>
    </w:p>
    <w:p>
      <w:pPr>
        <w:spacing w:line="560" w:lineRule="exact"/>
        <w:ind w:firstLine="2560" w:firstLineChars="800"/>
        <w:rPr>
          <w:rFonts w:ascii="黑体" w:hAnsi="黑体" w:eastAsia="黑体" w:cs="黑体"/>
          <w:sz w:val="32"/>
          <w:szCs w:val="32"/>
          <w:highlight w:val="none"/>
        </w:rPr>
      </w:pPr>
    </w:p>
    <w:p>
      <w:pPr>
        <w:spacing w:line="560" w:lineRule="exact"/>
        <w:ind w:firstLine="2891" w:firstLineChars="900"/>
        <w:rPr>
          <w:rFonts w:ascii="黑体" w:hAnsi="黑体" w:eastAsia="黑体" w:cs="黑体"/>
          <w:b/>
          <w:bCs/>
          <w:sz w:val="32"/>
          <w:szCs w:val="32"/>
          <w:highlight w:val="none"/>
        </w:rPr>
      </w:pPr>
      <w:r>
        <w:rPr>
          <w:rFonts w:hint="eastAsia" w:ascii="黑体" w:hAnsi="黑体" w:eastAsia="黑体" w:cs="黑体"/>
          <w:b/>
          <w:bCs/>
          <w:sz w:val="32"/>
          <w:szCs w:val="32"/>
          <w:highlight w:val="none"/>
        </w:rPr>
        <w:t>第四章 附 则</w:t>
      </w:r>
    </w:p>
    <w:p>
      <w:pPr>
        <w:pStyle w:val="7"/>
        <w:shd w:val="clear" w:color="auto" w:fill="FFFFFF"/>
        <w:spacing w:before="0" w:beforeAutospacing="0" w:after="150" w:afterAutospacing="0" w:line="390" w:lineRule="atLeast"/>
        <w:ind w:firstLine="640" w:firstLineChars="200"/>
        <w:jc w:val="both"/>
        <w:rPr>
          <w:rFonts w:ascii="仿宋_GB2312" w:eastAsia="仿宋_GB2312"/>
          <w:sz w:val="32"/>
          <w:szCs w:val="32"/>
          <w:highlight w:val="none"/>
        </w:rPr>
      </w:pPr>
      <w:r>
        <w:rPr>
          <w:rFonts w:hint="eastAsia" w:ascii="楷体_GB2312" w:hAnsi="楷体_GB2312" w:eastAsia="楷体_GB2312" w:cs="楷体_GB2312"/>
          <w:kern w:val="2"/>
          <w:sz w:val="32"/>
          <w:szCs w:val="32"/>
          <w:highlight w:val="none"/>
        </w:rPr>
        <w:t xml:space="preserve">第十条 </w:t>
      </w:r>
      <w:r>
        <w:rPr>
          <w:rFonts w:hint="eastAsia" w:ascii="仿宋_GB2312" w:eastAsia="仿宋_GB2312"/>
          <w:sz w:val="32"/>
          <w:szCs w:val="32"/>
          <w:highlight w:val="none"/>
        </w:rPr>
        <w:t>本办法自公布之日起试行，有效期三年，由西红门镇产业领导小组负责解释。试行期间，如遇国家或北京市等相关政策调整，本办法同步调整。</w:t>
      </w:r>
    </w:p>
    <w:p>
      <w:pPr>
        <w:pStyle w:val="7"/>
        <w:shd w:val="clear" w:color="auto" w:fill="FFFFFF"/>
        <w:spacing w:before="0" w:beforeAutospacing="0" w:after="150" w:afterAutospacing="0" w:line="390" w:lineRule="atLeast"/>
        <w:ind w:firstLine="640" w:firstLineChars="200"/>
        <w:rPr>
          <w:rFonts w:ascii="仿宋_GB2312" w:eastAsia="仿宋_GB2312"/>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XBSJW--GB1-0">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3"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ascii="仿宋_GB2312" w:hAnsi="仿宋_GB2312" w:cs="仿宋_GB2312"/>
                    <w:sz w:val="28"/>
                    <w:szCs w:val="28"/>
                  </w:rPr>
                  <w:t>8</w:t>
                </w:r>
                <w:r>
                  <w:rPr>
                    <w:rFonts w:hint="eastAsia" w:ascii="仿宋_GB2312" w:hAnsi="仿宋_GB2312" w:cs="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3CAD"/>
    <w:multiLevelType w:val="multilevel"/>
    <w:tmpl w:val="0DEC3CA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hM2MzZjJiYjZhOWU2OWQyYThmNzNmYmNiNjFjMWUifQ=="/>
  </w:docVars>
  <w:rsids>
    <w:rsidRoot w:val="00DB5F85"/>
    <w:rsid w:val="000247A6"/>
    <w:rsid w:val="000F0DC7"/>
    <w:rsid w:val="00156561"/>
    <w:rsid w:val="00192E91"/>
    <w:rsid w:val="001C7632"/>
    <w:rsid w:val="00205CEF"/>
    <w:rsid w:val="0026613F"/>
    <w:rsid w:val="002927EE"/>
    <w:rsid w:val="002A38DD"/>
    <w:rsid w:val="002C15D4"/>
    <w:rsid w:val="00310BE2"/>
    <w:rsid w:val="00317DE7"/>
    <w:rsid w:val="003203D1"/>
    <w:rsid w:val="003261C7"/>
    <w:rsid w:val="00343C15"/>
    <w:rsid w:val="00354477"/>
    <w:rsid w:val="003A1FFA"/>
    <w:rsid w:val="003B579A"/>
    <w:rsid w:val="003E38A6"/>
    <w:rsid w:val="0044578B"/>
    <w:rsid w:val="004476C3"/>
    <w:rsid w:val="004B6BCD"/>
    <w:rsid w:val="004C3F63"/>
    <w:rsid w:val="004C42DE"/>
    <w:rsid w:val="0055238C"/>
    <w:rsid w:val="00555E09"/>
    <w:rsid w:val="006452FE"/>
    <w:rsid w:val="006769B7"/>
    <w:rsid w:val="006A71FB"/>
    <w:rsid w:val="006F7F2B"/>
    <w:rsid w:val="00716F4E"/>
    <w:rsid w:val="007227D1"/>
    <w:rsid w:val="007400C8"/>
    <w:rsid w:val="00774657"/>
    <w:rsid w:val="00781119"/>
    <w:rsid w:val="007948E9"/>
    <w:rsid w:val="007A7501"/>
    <w:rsid w:val="00812BEA"/>
    <w:rsid w:val="00817099"/>
    <w:rsid w:val="008357F5"/>
    <w:rsid w:val="0083741D"/>
    <w:rsid w:val="008661AA"/>
    <w:rsid w:val="008A023B"/>
    <w:rsid w:val="008C0327"/>
    <w:rsid w:val="00932332"/>
    <w:rsid w:val="0095289C"/>
    <w:rsid w:val="009544B6"/>
    <w:rsid w:val="0096551F"/>
    <w:rsid w:val="009746A0"/>
    <w:rsid w:val="00981E51"/>
    <w:rsid w:val="00993C7B"/>
    <w:rsid w:val="009F6B0C"/>
    <w:rsid w:val="00A33144"/>
    <w:rsid w:val="00A51598"/>
    <w:rsid w:val="00A53F96"/>
    <w:rsid w:val="00A705E9"/>
    <w:rsid w:val="00A90539"/>
    <w:rsid w:val="00A956DB"/>
    <w:rsid w:val="00AB2C6D"/>
    <w:rsid w:val="00AC15E5"/>
    <w:rsid w:val="00AD4C94"/>
    <w:rsid w:val="00B10937"/>
    <w:rsid w:val="00B15F24"/>
    <w:rsid w:val="00B550F7"/>
    <w:rsid w:val="00B82D45"/>
    <w:rsid w:val="00BD6A1D"/>
    <w:rsid w:val="00C134B8"/>
    <w:rsid w:val="00C14D7E"/>
    <w:rsid w:val="00C26D61"/>
    <w:rsid w:val="00C65C8B"/>
    <w:rsid w:val="00CB7E96"/>
    <w:rsid w:val="00D038E1"/>
    <w:rsid w:val="00D27C07"/>
    <w:rsid w:val="00D902AC"/>
    <w:rsid w:val="00DB5F85"/>
    <w:rsid w:val="00DC5373"/>
    <w:rsid w:val="00DD3609"/>
    <w:rsid w:val="00EA3E1F"/>
    <w:rsid w:val="00EF167C"/>
    <w:rsid w:val="00F17A82"/>
    <w:rsid w:val="00F61825"/>
    <w:rsid w:val="00F61A56"/>
    <w:rsid w:val="00F64CBA"/>
    <w:rsid w:val="00F72340"/>
    <w:rsid w:val="00F85F83"/>
    <w:rsid w:val="00FD6207"/>
    <w:rsid w:val="00FD7CC3"/>
    <w:rsid w:val="00FE3922"/>
    <w:rsid w:val="0AF31F28"/>
    <w:rsid w:val="1DC02CB4"/>
    <w:rsid w:val="63E03B32"/>
    <w:rsid w:val="6620278E"/>
    <w:rsid w:val="69587053"/>
    <w:rsid w:val="6BE812FB"/>
    <w:rsid w:val="7B9F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1"/>
    <w:semiHidden/>
    <w:unhideWhenUsed/>
    <w:qFormat/>
    <w:uiPriority w:val="99"/>
    <w:rPr>
      <w:b/>
      <w:bCs/>
    </w:r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fontstyle01"/>
    <w:basedOn w:val="10"/>
    <w:qFormat/>
    <w:uiPriority w:val="0"/>
    <w:rPr>
      <w:rFonts w:hint="default" w:ascii="FZXBSJW--GB1-0" w:hAnsi="FZXBSJW--GB1-0"/>
      <w:color w:val="000000"/>
      <w:sz w:val="44"/>
      <w:szCs w:val="44"/>
    </w:rPr>
  </w:style>
  <w:style w:type="paragraph" w:styleId="16">
    <w:name w:val="List Paragraph"/>
    <w:basedOn w:val="1"/>
    <w:qFormat/>
    <w:uiPriority w:val="34"/>
    <w:pPr>
      <w:ind w:firstLine="420" w:firstLineChars="200"/>
    </w:pPr>
  </w:style>
  <w:style w:type="paragraph" w:customStyle="1" w:styleId="17">
    <w:name w:val="公文的正文"/>
    <w:qFormat/>
    <w:uiPriority w:val="0"/>
    <w:pPr>
      <w:widowControl w:val="0"/>
      <w:spacing w:line="560" w:lineRule="exact"/>
      <w:ind w:firstLine="200" w:firstLineChars="200"/>
      <w:contextualSpacing/>
      <w:jc w:val="both"/>
    </w:pPr>
    <w:rPr>
      <w:rFonts w:ascii="仿宋_GB2312" w:hAnsi="仿宋" w:eastAsia="仿宋_GB2312" w:cs="仿宋"/>
      <w:kern w:val="2"/>
      <w:sz w:val="32"/>
      <w:szCs w:val="32"/>
      <w:lang w:val="en-US" w:eastAsia="zh-CN" w:bidi="ar-SA"/>
    </w:rPr>
  </w:style>
  <w:style w:type="character" w:customStyle="1" w:styleId="18">
    <w:name w:val="标题 2 字符"/>
    <w:basedOn w:val="10"/>
    <w:link w:val="2"/>
    <w:qFormat/>
    <w:uiPriority w:val="9"/>
    <w:rPr>
      <w:rFonts w:ascii="宋体" w:hAnsi="宋体" w:eastAsia="宋体" w:cs="宋体"/>
      <w:b/>
      <w:bCs/>
      <w:kern w:val="0"/>
      <w:sz w:val="36"/>
      <w:szCs w:val="36"/>
    </w:rPr>
  </w:style>
  <w:style w:type="character" w:customStyle="1" w:styleId="19">
    <w:name w:val="批注框文本 字符"/>
    <w:basedOn w:val="10"/>
    <w:link w:val="4"/>
    <w:semiHidden/>
    <w:qFormat/>
    <w:uiPriority w:val="99"/>
    <w:rPr>
      <w:sz w:val="18"/>
      <w:szCs w:val="18"/>
    </w:rPr>
  </w:style>
  <w:style w:type="character" w:customStyle="1" w:styleId="20">
    <w:name w:val="批注文字 字符"/>
    <w:basedOn w:val="10"/>
    <w:link w:val="3"/>
    <w:semiHidden/>
    <w:qFormat/>
    <w:uiPriority w:val="99"/>
  </w:style>
  <w:style w:type="character" w:customStyle="1" w:styleId="21">
    <w:name w:val="批注主题 字符"/>
    <w:basedOn w:val="20"/>
    <w:link w:val="8"/>
    <w:semiHidden/>
    <w:qFormat/>
    <w:uiPriority w:val="99"/>
    <w:rPr>
      <w:b/>
      <w:bCs/>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1603</Words>
  <Characters>1629</Characters>
  <Lines>15</Lines>
  <Paragraphs>4</Paragraphs>
  <TotalTime>27</TotalTime>
  <ScaleCrop>false</ScaleCrop>
  <LinksUpToDate>false</LinksUpToDate>
  <CharactersWithSpaces>1675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2023-06-13T01:48:00Z</dcterms:created>
  <dc:creator>倩 白</dc:creator>
  <cp:lastModifiedBy>政务服务局公文</cp:lastModifiedBy>
  <dcterms:modified xsi:type="dcterms:W3CDTF">2024-12-02T06:54:36Z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0B72DD497FFD44D49276A0449DDD97F7_13</vt:lpwstr>
  </property>
</Properties>
</file>