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北京市大兴区退役军人事务局</w:t>
      </w:r>
      <w:r>
        <w:rPr>
          <w:rFonts w:hint="eastAsia" w:ascii="方正小标宋简体" w:hAnsi="方正小标宋简体" w:eastAsia="方正小标宋简体" w:cs="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等4部门</w:t>
      </w:r>
      <w:r>
        <w:rPr>
          <w:rFonts w:hint="eastAsia" w:ascii="方正小标宋简体" w:hAnsi="方正小标宋简体" w:eastAsia="方正小标宋简体" w:cs="方正小标宋简体"/>
          <w:sz w:val="44"/>
          <w:szCs w:val="44"/>
          <w:lang w:eastAsia="zh-CN"/>
        </w:rPr>
        <w:t>关于全面做好大兴区退役士兵</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教育培训工作暂行方案（征求意见稿）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北京市退役军人事务局等6部门《关于全面做好北京市退役士兵教育培训工作的实施意见》（京退役军人局发〔2023〕4号）、</w:t>
      </w:r>
      <w:r>
        <w:rPr>
          <w:rFonts w:hint="eastAsia" w:ascii="仿宋_GB2312" w:hAnsi="仿宋_GB2312" w:eastAsia="仿宋_GB2312" w:cs="仿宋_GB2312"/>
          <w:sz w:val="32"/>
          <w:szCs w:val="40"/>
          <w:highlight w:val="none"/>
          <w:lang w:val="en-US" w:eastAsia="zh-CN"/>
        </w:rPr>
        <w:t>北京市退役军人事务局《关于进一步加强和规范自主就业退役士兵教育培训工作的通知》（京退役军人局发〔2024〕30号）</w:t>
      </w:r>
      <w:r>
        <w:rPr>
          <w:rFonts w:hint="eastAsia" w:ascii="仿宋_GB2312" w:hAnsi="仿宋_GB2312" w:eastAsia="仿宋_GB2312" w:cs="仿宋_GB2312"/>
          <w:sz w:val="32"/>
          <w:szCs w:val="32"/>
          <w:lang w:val="en-US" w:eastAsia="zh-CN"/>
        </w:rPr>
        <w:t>部署要求，结合本区工作实际，</w:t>
      </w:r>
      <w:r>
        <w:rPr>
          <w:rFonts w:hint="eastAsia" w:ascii="仿宋_GB2312" w:hAnsi="仿宋_GB2312" w:eastAsia="仿宋_GB2312" w:cs="仿宋_GB2312"/>
          <w:sz w:val="32"/>
          <w:szCs w:val="40"/>
          <w:lang w:val="en-US" w:eastAsia="zh-CN"/>
        </w:rPr>
        <w:t>进一步优化完善退役士兵教育培训</w:t>
      </w:r>
      <w:r>
        <w:rPr>
          <w:rFonts w:hint="eastAsia" w:ascii="仿宋_GB2312" w:hAnsi="仿宋_GB2312" w:eastAsia="仿宋_GB2312" w:cs="仿宋_GB2312"/>
          <w:sz w:val="32"/>
          <w:szCs w:val="40"/>
          <w:highlight w:val="none"/>
          <w:lang w:val="en-US" w:eastAsia="zh-CN"/>
        </w:rPr>
        <w:t>工作制度体系，制定以下方案。</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一、总体要求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以习近平新时代中国特色社会主义思想为指导，深入学习贯彻党的二十大精神，坚持政府主导、社会支持，进一步建立健全退役士兵适应性培训、职业技能培训、学历教育和终身学习的教育培训体系</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 xml:space="preserve">切实保障退役士兵享受政策红利，更好促进就业创业发展。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二、适应性培训</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40"/>
          <w:lang w:val="en-US" w:eastAsia="zh-CN"/>
        </w:rPr>
        <w:t>区退役军人事务局结合本区实际，</w:t>
      </w:r>
      <w:r>
        <w:rPr>
          <w:rFonts w:hint="default" w:ascii="仿宋_GB2312" w:hAnsi="仿宋_GB2312" w:eastAsia="仿宋_GB2312" w:cs="仿宋_GB2312"/>
          <w:color w:val="auto"/>
          <w:kern w:val="2"/>
          <w:sz w:val="32"/>
          <w:szCs w:val="32"/>
          <w:lang w:val="en-US" w:eastAsia="zh-CN" w:bidi="ar-SA"/>
        </w:rPr>
        <w:t>面向</w:t>
      </w:r>
      <w:r>
        <w:rPr>
          <w:rFonts w:hint="eastAsia" w:ascii="仿宋_GB2312" w:hAnsi="仿宋_GB2312" w:eastAsia="仿宋_GB2312" w:cs="仿宋_GB2312"/>
          <w:color w:val="auto"/>
          <w:kern w:val="2"/>
          <w:sz w:val="32"/>
          <w:szCs w:val="32"/>
          <w:lang w:val="en-US" w:eastAsia="zh-CN" w:bidi="ar-SA"/>
        </w:rPr>
        <w:t>当年接收的</w:t>
      </w:r>
      <w:r>
        <w:rPr>
          <w:rFonts w:hint="default" w:ascii="仿宋_GB2312" w:hAnsi="仿宋_GB2312" w:eastAsia="仿宋_GB2312" w:cs="仿宋_GB2312"/>
          <w:color w:val="auto"/>
          <w:kern w:val="2"/>
          <w:sz w:val="32"/>
          <w:szCs w:val="32"/>
          <w:lang w:val="en-US" w:eastAsia="zh-CN" w:bidi="ar-SA"/>
        </w:rPr>
        <w:t>自主就业退役士兵开展适应性培训，</w:t>
      </w:r>
      <w:r>
        <w:rPr>
          <w:rFonts w:hint="eastAsia" w:ascii="仿宋_GB2312" w:hAnsi="仿宋_GB2312" w:eastAsia="仿宋_GB2312" w:cs="仿宋_GB2312"/>
          <w:color w:val="auto"/>
          <w:kern w:val="2"/>
          <w:sz w:val="32"/>
          <w:szCs w:val="32"/>
          <w:lang w:val="en-US" w:eastAsia="zh-CN" w:bidi="ar-SA"/>
        </w:rPr>
        <w:t>帮助其尽快转变角色融入社会。</w:t>
      </w:r>
      <w:r>
        <w:rPr>
          <w:rFonts w:hint="eastAsia" w:ascii="仿宋_GB2312" w:hAnsi="仿宋_GB2312" w:eastAsia="仿宋_GB2312" w:cs="仿宋_GB2312"/>
          <w:sz w:val="32"/>
          <w:szCs w:val="32"/>
          <w:lang w:val="en" w:eastAsia="zh-CN"/>
        </w:rPr>
        <w:t>原则上在退役士兵返乡报到后及时组织实施，培训时长不少于</w:t>
      </w:r>
      <w:r>
        <w:rPr>
          <w:rFonts w:hint="eastAsia" w:ascii="仿宋_GB2312" w:hAnsi="仿宋_GB2312" w:eastAsia="仿宋_GB2312" w:cs="仿宋_GB2312"/>
          <w:sz w:val="32"/>
          <w:szCs w:val="32"/>
          <w:lang w:val="en-US" w:eastAsia="zh-CN"/>
        </w:rPr>
        <w:t>80学时。</w:t>
      </w:r>
      <w:r>
        <w:rPr>
          <w:rFonts w:hint="default" w:ascii="仿宋_GB2312" w:hAnsi="仿宋_GB2312" w:eastAsia="仿宋_GB2312" w:cs="仿宋_GB2312"/>
          <w:color w:val="auto"/>
          <w:kern w:val="2"/>
          <w:sz w:val="32"/>
          <w:szCs w:val="32"/>
          <w:lang w:val="en-US" w:eastAsia="zh-CN" w:bidi="ar-SA"/>
        </w:rPr>
        <w:t>采</w:t>
      </w:r>
      <w:r>
        <w:rPr>
          <w:rFonts w:hint="eastAsia" w:ascii="仿宋_GB2312" w:hAnsi="仿宋_GB2312" w:eastAsia="仿宋_GB2312" w:cs="仿宋_GB2312"/>
          <w:color w:val="auto"/>
          <w:kern w:val="2"/>
          <w:sz w:val="32"/>
          <w:szCs w:val="32"/>
          <w:lang w:val="en-US" w:eastAsia="zh-CN" w:bidi="ar-SA"/>
        </w:rPr>
        <w:t>取</w:t>
      </w:r>
      <w:r>
        <w:rPr>
          <w:rFonts w:hint="default" w:ascii="仿宋_GB2312" w:hAnsi="仿宋_GB2312" w:eastAsia="仿宋_GB2312" w:cs="仿宋_GB2312"/>
          <w:color w:val="auto"/>
          <w:kern w:val="2"/>
          <w:sz w:val="32"/>
          <w:szCs w:val="32"/>
          <w:lang w:val="en-US" w:eastAsia="zh-CN" w:bidi="ar-SA"/>
        </w:rPr>
        <w:t>“互联网+培训”</w:t>
      </w:r>
      <w:r>
        <w:rPr>
          <w:rFonts w:hint="eastAsia" w:ascii="仿宋_GB2312" w:hAnsi="仿宋_GB2312" w:eastAsia="仿宋_GB2312" w:cs="仿宋_GB2312"/>
          <w:color w:val="auto"/>
          <w:kern w:val="2"/>
          <w:sz w:val="32"/>
          <w:szCs w:val="32"/>
          <w:lang w:val="en-US" w:eastAsia="zh-CN" w:bidi="ar-SA"/>
        </w:rPr>
        <w:t>、集中培训等线上线下相结合的多种教学手段，灵活安排教学，</w:t>
      </w:r>
      <w:r>
        <w:rPr>
          <w:rFonts w:hint="default" w:ascii="仿宋_GB2312" w:hAnsi="仿宋_GB2312" w:eastAsia="仿宋_GB2312" w:cs="仿宋_GB2312"/>
          <w:color w:val="auto"/>
          <w:sz w:val="32"/>
          <w:szCs w:val="32"/>
          <w:u w:val="none"/>
          <w:shd w:val="clear" w:color="auto" w:fill="auto"/>
          <w:lang w:eastAsia="zh-CN"/>
        </w:rPr>
        <w:t>组织</w:t>
      </w:r>
      <w:r>
        <w:rPr>
          <w:rFonts w:hint="default" w:ascii="仿宋_GB2312" w:hAnsi="仿宋_GB2312" w:eastAsia="仿宋_GB2312" w:cs="仿宋_GB2312"/>
          <w:color w:val="auto"/>
          <w:sz w:val="32"/>
          <w:szCs w:val="32"/>
          <w:u w:val="none"/>
          <w:lang w:eastAsia="zh-CN"/>
        </w:rPr>
        <w:t>全员</w:t>
      </w:r>
      <w:r>
        <w:rPr>
          <w:rFonts w:hint="eastAsia" w:ascii="Times New Roman" w:hAnsi="Times New Roman" w:eastAsia="仿宋_GB2312" w:cs="仿宋_GB2312"/>
          <w:color w:val="auto"/>
          <w:sz w:val="32"/>
          <w:szCs w:val="32"/>
          <w:u w:val="none"/>
          <w:lang w:eastAsia="zh-CN"/>
        </w:rPr>
        <w:t>参训、即退即训。</w:t>
      </w:r>
      <w:r>
        <w:rPr>
          <w:rFonts w:hint="eastAsia" w:ascii="仿宋_GB2312" w:hAnsi="仿宋_GB2312" w:eastAsia="仿宋_GB2312" w:cs="仿宋_GB2312"/>
          <w:sz w:val="32"/>
          <w:szCs w:val="32"/>
          <w:lang w:eastAsia="zh-CN"/>
        </w:rPr>
        <w:t>按照不低于每人</w:t>
      </w:r>
      <w:r>
        <w:rPr>
          <w:rFonts w:hint="eastAsia" w:ascii="仿宋_GB2312" w:hAnsi="仿宋_GB2312" w:eastAsia="仿宋_GB2312" w:cs="仿宋_GB2312"/>
          <w:sz w:val="32"/>
          <w:szCs w:val="32"/>
          <w:lang w:val="en-US" w:eastAsia="zh-CN"/>
        </w:rPr>
        <w:t>500元的标准和本年接收自主就业退役士兵计划人数安排适应性培训经费预算，</w:t>
      </w:r>
      <w:r>
        <w:rPr>
          <w:rFonts w:hint="eastAsia" w:ascii="Times New Roman" w:hAnsi="Times New Roman" w:eastAsia="仿宋_GB2312" w:cs="仿宋_GB2312"/>
          <w:color w:val="auto"/>
          <w:sz w:val="32"/>
          <w:szCs w:val="32"/>
          <w:u w:val="none"/>
          <w:lang w:eastAsia="zh-CN"/>
        </w:rPr>
        <w:t>纳入区财政年度预算安排</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职业技能培训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 w:eastAsia="zh-CN"/>
        </w:rPr>
        <w:t>（一）培训对象。</w:t>
      </w:r>
      <w:r>
        <w:rPr>
          <w:rFonts w:hint="eastAsia" w:ascii="仿宋_GB2312" w:hAnsi="仿宋_GB2312" w:eastAsia="仿宋_GB2312" w:cs="仿宋_GB2312"/>
          <w:sz w:val="32"/>
          <w:szCs w:val="32"/>
          <w:lang w:val="en-US" w:eastAsia="zh-CN"/>
        </w:rPr>
        <w:t>2011年11月1日以后由大兴区接收的</w:t>
      </w:r>
      <w:r>
        <w:rPr>
          <w:rFonts w:hint="eastAsia" w:ascii="仿宋_GB2312" w:hAnsi="仿宋_GB2312" w:eastAsia="仿宋_GB2312" w:cs="仿宋_GB2312"/>
          <w:color w:val="auto"/>
          <w:sz w:val="32"/>
          <w:szCs w:val="32"/>
          <w:lang w:val="en-US" w:eastAsia="zh-CN"/>
        </w:rPr>
        <w:t>自主就业退役士兵，</w:t>
      </w:r>
      <w:r>
        <w:rPr>
          <w:rFonts w:hint="eastAsia" w:ascii="仿宋_GB2312" w:hAnsi="仿宋_GB2312" w:eastAsia="仿宋_GB2312" w:cs="仿宋_GB2312"/>
          <w:sz w:val="32"/>
          <w:szCs w:val="32"/>
          <w:lang w:val="en-US" w:eastAsia="zh-CN"/>
        </w:rPr>
        <w:t>可在达到法定退休年龄前接受一次免费职业技能培训，之前已经享受过免费职业技能培训或政策补助的不再重复享受该政策。逐月领取退役金军士的职业技能培训按相关规定执行。</w:t>
      </w:r>
    </w:p>
    <w:p>
      <w:pPr>
        <w:widowControl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 w:eastAsia="zh-CN"/>
        </w:rPr>
        <w:t>（二）培训机构范围。</w:t>
      </w:r>
      <w:r>
        <w:rPr>
          <w:rFonts w:hint="eastAsia" w:ascii="仿宋_GB2312" w:hAnsi="仿宋_GB2312" w:eastAsia="仿宋_GB2312" w:cs="仿宋_GB2312"/>
          <w:i w:val="0"/>
          <w:caps w:val="0"/>
          <w:color w:val="232930"/>
          <w:spacing w:val="0"/>
          <w:sz w:val="32"/>
          <w:szCs w:val="32"/>
          <w:shd w:val="clear" w:fill="auto"/>
        </w:rPr>
        <w:t>大</w:t>
      </w:r>
      <w:r>
        <w:rPr>
          <w:rFonts w:hint="eastAsia" w:ascii="仿宋_GB2312" w:hAnsi="仿宋_GB2312" w:eastAsia="仿宋_GB2312" w:cs="仿宋_GB2312"/>
          <w:sz w:val="32"/>
          <w:szCs w:val="32"/>
          <w:lang w:val="en-US" w:eastAsia="zh-CN"/>
        </w:rPr>
        <w:t xml:space="preserve">兴区人力社保部门认证许可的培训机构；北京市行政区域内具有办学资质的社会培训机构、技工学校（院）和普通高等学校、高等职业学校继续教育等机构；已被纳入本市退役士兵职业技能培训信息黄页的承训机构；退役士兵有跨省培训意愿和需求的，培训机构范围按照所在省市规定执行。 </w:t>
      </w:r>
      <w:r>
        <w:rPr>
          <w:rFonts w:hint="eastAsia" w:ascii="仿宋_GB2312" w:hAnsi="仿宋_GB2312" w:eastAsia="仿宋_GB2312" w:cs="仿宋_GB2312"/>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highlight w:val="none"/>
          <w:lang w:val="en" w:eastAsia="zh-CN"/>
        </w:rPr>
        <w:t>（三）培训申请流程。</w:t>
      </w:r>
      <w:r>
        <w:rPr>
          <w:rFonts w:hint="eastAsia" w:ascii="仿宋_GB2312" w:hAnsi="仿宋_GB2312" w:eastAsia="仿宋_GB2312" w:cs="仿宋_GB2312"/>
          <w:sz w:val="32"/>
          <w:szCs w:val="32"/>
          <w:lang w:val="en-US" w:eastAsia="zh-CN"/>
        </w:rPr>
        <w:t>自主就业退役士兵可通过</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"https://www.baidu.com/link?url=WhaQ9f8nkz--A4ugikNDBLBvAl50iLZlxDljpdmNMK7_o9h65aeuMb7ZRnPv1Zkg&amp;wd=&amp;eqid=9a517caa001d8f9b0000000367beda3b" \t "/home/user/Documents\\x/_blank"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全国一体化退役军人网上服务平台</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教育培训模块（APP）报名，或持身份证、退役证原件向区退役军人事务局提出申请，填写《北京市大兴区退役士兵参加教育培训申请表》（附件1），</w:t>
      </w:r>
      <w:r>
        <w:rPr>
          <w:rFonts w:hint="default" w:ascii="仿宋_GB2312" w:hAnsi="仿宋_GB2312" w:eastAsia="仿宋_GB2312" w:cs="仿宋_GB2312"/>
          <w:sz w:val="32"/>
          <w:szCs w:val="32"/>
          <w:lang w:val="en-US" w:eastAsia="zh-CN"/>
        </w:rPr>
        <w:t>区退役军人事务局做好申请培训报名人员审核工作，建立自主就业退役士兵培训档案</w:t>
      </w:r>
      <w:r>
        <w:rPr>
          <w:rFonts w:hint="eastAsia" w:ascii="仿宋_GB2312" w:hAnsi="仿宋_GB2312" w:eastAsia="仿宋_GB2312" w:cs="仿宋_GB2312"/>
          <w:sz w:val="32"/>
          <w:szCs w:val="32"/>
          <w:lang w:val="en-US" w:eastAsia="zh-CN"/>
        </w:rPr>
        <w:t>（附件2）</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 w:eastAsia="zh-CN"/>
        </w:rPr>
        <w:t>（四）培训补助报销。</w:t>
      </w:r>
      <w:r>
        <w:rPr>
          <w:rFonts w:hint="eastAsia" w:ascii="仿宋_GB2312" w:hAnsi="仿宋_GB2312" w:eastAsia="仿宋_GB2312" w:cs="仿宋_GB2312"/>
          <w:b w:val="0"/>
          <w:bCs w:val="0"/>
          <w:sz w:val="32"/>
          <w:szCs w:val="32"/>
          <w:lang w:val="en-US" w:eastAsia="zh-CN"/>
        </w:rPr>
        <w:t>自主就业</w:t>
      </w:r>
      <w:r>
        <w:rPr>
          <w:rFonts w:hint="eastAsia" w:ascii="仿宋_GB2312" w:hAnsi="仿宋_GB2312" w:eastAsia="仿宋_GB2312" w:cs="仿宋_GB2312"/>
          <w:sz w:val="32"/>
          <w:szCs w:val="32"/>
          <w:lang w:val="en-US" w:eastAsia="zh-CN"/>
        </w:rPr>
        <w:t>退役士兵参加区退役军人事务局组织集中培训的，培训机构应提供相应的培训课程安排、参训人员名单、培训签到表、学员满意度调查评价、学员考试及获取证书情况、培训经费等材料，经区退役军人事务部门审核后，培训费直接支付培训机构。退役士兵个人不再承担培训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自主就业</w:t>
      </w:r>
      <w:r>
        <w:rPr>
          <w:rFonts w:hint="eastAsia" w:ascii="仿宋_GB2312" w:hAnsi="仿宋_GB2312" w:eastAsia="仿宋_GB2312" w:cs="仿宋_GB2312"/>
          <w:sz w:val="32"/>
          <w:szCs w:val="32"/>
          <w:highlight w:val="none"/>
          <w:lang w:val="en-US" w:eastAsia="zh-CN"/>
        </w:rPr>
        <w:t>退役士兵自主选择职业技能培训的（含跨地区培训），由个人先行垫付职业技能培训费用，在完成培训后1年内</w:t>
      </w:r>
      <w:r>
        <w:rPr>
          <w:rFonts w:hint="eastAsia" w:hAnsi="仿宋_GB2312" w:cs="仿宋_GB2312"/>
          <w:b w:val="0"/>
          <w:bCs w:val="0"/>
          <w:sz w:val="32"/>
          <w:szCs w:val="32"/>
          <w:highlight w:val="none"/>
          <w:lang w:val="en-US" w:eastAsia="zh-CN"/>
        </w:rPr>
        <w:t>将</w:t>
      </w:r>
      <w:r>
        <w:rPr>
          <w:rFonts w:hint="eastAsia" w:ascii="仿宋_GB2312" w:hAnsi="仿宋_GB2312" w:eastAsia="仿宋_GB2312" w:cs="仿宋_GB2312"/>
          <w:b w:val="0"/>
          <w:bCs w:val="0"/>
          <w:sz w:val="32"/>
          <w:szCs w:val="32"/>
          <w:highlight w:val="none"/>
          <w:lang w:val="en-US" w:eastAsia="zh-CN"/>
        </w:rPr>
        <w:t>培训缴费</w:t>
      </w:r>
      <w:r>
        <w:rPr>
          <w:rFonts w:hint="eastAsia" w:ascii="仿宋_GB2312" w:hAnsi="仿宋_GB2312" w:eastAsia="仿宋_GB2312" w:cs="仿宋_GB2312"/>
          <w:sz w:val="32"/>
          <w:szCs w:val="32"/>
          <w:highlight w:val="none"/>
          <w:lang w:val="en-US" w:eastAsia="zh-CN"/>
        </w:rPr>
        <w:t>发票、培训机构资质材料、培训机构证明（明确培训学时、出勤情况）、职业技能等级证书（或技能人员职业资格证、结业合格证）上传至</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"https://www.baidu.com/link?url=WhaQ9f8nkz--A4ugikNDBLBvAl50iLZlxDljpdmNMK7_o9h65aeuMb7ZRnPv1Zkg&amp;wd=&amp;eqid=9a517caa001d8f9b0000000367beda3b" \t "/home/user/Documents\\x/_blank"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全国一体化退役军人网上服务平台</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教育培训模块（APP），通过审核的按照规定给予报销职业技能培训费用。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 w:eastAsia="zh-CN" w:bidi="ar-SA"/>
        </w:rPr>
        <w:t>（五）培训经费保障。</w:t>
      </w:r>
      <w:r>
        <w:rPr>
          <w:rFonts w:hint="eastAsia" w:ascii="仿宋_GB2312" w:hAnsi="仿宋_GB2312" w:eastAsia="仿宋_GB2312" w:cs="仿宋_GB2312"/>
          <w:sz w:val="32"/>
          <w:szCs w:val="32"/>
          <w:highlight w:val="none"/>
          <w:lang w:val="en-US" w:eastAsia="zh-CN"/>
        </w:rPr>
        <w:t>职业技能培训经费由中央、市、区三级财政保障，优先使用转移支付资金。市财政按照中央财政补助1:1进行配套，区财政根据当年中央补助及市级补助下达情况，按照实际需求实行动态保障。职业技能培训费用低于补助标准的，按照实际费用给予报销；超过补助标准的，超出部分由退役士兵个人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b w:val="0"/>
          <w:bCs w:val="0"/>
          <w:color w:val="auto"/>
          <w:kern w:val="2"/>
          <w:sz w:val="32"/>
          <w:szCs w:val="32"/>
          <w:lang w:val="en-US" w:eastAsia="zh-CN" w:bidi="ar-SA"/>
        </w:rPr>
        <w:t>非全日制</w:t>
      </w:r>
      <w:r>
        <w:rPr>
          <w:rFonts w:hint="eastAsia" w:ascii="黑体" w:hAnsi="黑体" w:eastAsia="黑体" w:cs="黑体"/>
          <w:sz w:val="32"/>
          <w:szCs w:val="32"/>
          <w:lang w:eastAsia="zh-CN"/>
        </w:rPr>
        <w:t>学历提升</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自主就业退役士兵退役1年内参加非全日制本专科学历教育的，需携带身份证、退役证件、录取通知书原件到区退役军人事务局申请备案，填写《北京市大兴区退役士兵参加教育培训申请表》（附件1），经区退役军人事务局审核同意并完成学历提升的，应在毕业后一年内凭学杂费发票、就读学校证明（明确学杂费、学制时间）及毕业证书到区退役军人事务局申请报销相关费用。非全日制学历教育经费由市财政通过专项转移支付补助保障，报销补助标准按每人每年不超过5000元，低于补助标准的按实际费用报销；超过补助标准的，超出部分由退役士兵个人承担。学杂费补助按照学制时间计算（留级、延迟毕业不计算在内）。</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 职业生涯全程培训</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将退役士兵培训纳入终身职业技能培训制度体系。以职业素养提升、技术更新、技能等级晋升为培养目标，鼓励用人单位定期组织退役士兵参加岗位技能提升和知识更新培训；支持合作企业为受聘退役士兵提供多渠道、多层级、多频次的教育培训。对下岗失业退役士兵，由人力社保部门及时纳入失业人员职业技能培训范围，并按规定予以补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六、工作保障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楷体_GB2312" w:hAnsi="楷体_GB2312" w:eastAsia="楷体_GB2312" w:cs="楷体_GB2312"/>
          <w:b w:val="0"/>
          <w:bCs w:val="0"/>
          <w:color w:val="auto"/>
          <w:kern w:val="2"/>
          <w:sz w:val="32"/>
          <w:szCs w:val="32"/>
          <w:lang w:val="en" w:eastAsia="zh-CN" w:bidi="ar-SA"/>
        </w:rPr>
      </w:pPr>
      <w:r>
        <w:rPr>
          <w:rFonts w:hint="eastAsia" w:ascii="楷体_GB2312" w:hAnsi="楷体_GB2312" w:eastAsia="楷体_GB2312" w:cs="楷体_GB2312"/>
          <w:b w:val="0"/>
          <w:bCs w:val="0"/>
          <w:color w:val="auto"/>
          <w:kern w:val="2"/>
          <w:sz w:val="32"/>
          <w:szCs w:val="32"/>
          <w:lang w:val="en" w:eastAsia="zh-CN" w:bidi="ar-SA"/>
        </w:rPr>
        <w:t>（一）强化组织领导。</w:t>
      </w:r>
      <w:r>
        <w:rPr>
          <w:rFonts w:hint="eastAsia" w:ascii="仿宋_GB2312" w:hAnsi="仿宋_GB2312" w:eastAsia="仿宋_GB2312" w:cs="仿宋_GB2312"/>
          <w:color w:val="auto"/>
          <w:kern w:val="2"/>
          <w:sz w:val="32"/>
          <w:szCs w:val="32"/>
          <w:lang w:val="en-US" w:eastAsia="zh-CN" w:bidi="ar-SA"/>
        </w:rPr>
        <w:t>区内相关部门要进一步提高政治站位，高质量落实退役士兵教育培训工作，确保退役士兵政策优待应享尽享。区退役军人事务局负责退役士兵教育培训工作的统筹协调、组织实施；区教委负责指导区属成人高等教育学校做好退役士兵报名招录、教学管理等工作；区人力社保局负责提供区属职业技能培训机构目录，做好区内职业技能评价等工作；区财政局负责按规定落实退役士兵教育培训相关经费保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 w:eastAsia="zh-CN" w:bidi="ar-SA"/>
        </w:rPr>
        <w:t>（二）做好宣传引导。</w:t>
      </w:r>
      <w:r>
        <w:rPr>
          <w:rFonts w:hint="eastAsia" w:ascii="仿宋_GB2312" w:hAnsi="仿宋_GB2312" w:eastAsia="仿宋_GB2312" w:cs="仿宋_GB2312"/>
          <w:caps w:val="0"/>
          <w:color w:val="222222"/>
          <w:spacing w:val="0"/>
          <w:sz w:val="32"/>
          <w:szCs w:val="32"/>
          <w:lang w:val="en-US" w:eastAsia="zh-CN"/>
        </w:rPr>
        <w:t>充分运用大兴区官网、微信公众号等自媒体平台，发挥区退役军人三级服务保障体系作用，</w:t>
      </w:r>
      <w:r>
        <w:rPr>
          <w:rFonts w:hint="eastAsia" w:ascii="仿宋_GB2312" w:hAnsi="仿宋_GB2312" w:eastAsia="仿宋_GB2312" w:cs="仿宋_GB2312"/>
          <w:color w:val="auto"/>
          <w:kern w:val="2"/>
          <w:sz w:val="32"/>
          <w:szCs w:val="32"/>
          <w:lang w:val="en-US" w:eastAsia="zh-CN" w:bidi="ar-SA"/>
        </w:rPr>
        <w:t>做好退役士兵教育培训工作的政策宣讲普及</w:t>
      </w:r>
      <w:r>
        <w:rPr>
          <w:rFonts w:hint="default" w:ascii="仿宋_GB2312" w:hAnsi="仿宋_GB2312" w:eastAsia="仿宋_GB2312" w:cs="仿宋_GB2312"/>
          <w:color w:val="auto"/>
          <w:kern w:val="2"/>
          <w:sz w:val="32"/>
          <w:szCs w:val="32"/>
          <w:lang w:val="en-US" w:eastAsia="zh-CN" w:bidi="ar-SA"/>
        </w:rPr>
        <w:t>，提升</w:t>
      </w:r>
      <w:r>
        <w:rPr>
          <w:rFonts w:hint="eastAsia" w:ascii="仿宋_GB2312" w:hAnsi="仿宋_GB2312" w:eastAsia="仿宋_GB2312" w:cs="仿宋_GB2312"/>
          <w:color w:val="auto"/>
          <w:kern w:val="2"/>
          <w:sz w:val="32"/>
          <w:szCs w:val="32"/>
          <w:lang w:val="en-US" w:eastAsia="zh-CN" w:bidi="ar-SA"/>
        </w:rPr>
        <w:t>相关</w:t>
      </w:r>
      <w:r>
        <w:rPr>
          <w:rFonts w:hint="default" w:ascii="仿宋_GB2312" w:hAnsi="仿宋_GB2312" w:eastAsia="仿宋_GB2312" w:cs="仿宋_GB2312"/>
          <w:color w:val="auto"/>
          <w:kern w:val="2"/>
          <w:sz w:val="32"/>
          <w:szCs w:val="32"/>
          <w:lang w:val="en-US" w:eastAsia="zh-CN" w:bidi="ar-SA"/>
        </w:rPr>
        <w:t>政策影响力</w:t>
      </w:r>
      <w:r>
        <w:rPr>
          <w:rFonts w:hint="eastAsia" w:ascii="仿宋_GB2312" w:hAnsi="仿宋_GB2312" w:eastAsia="仿宋_GB2312" w:cs="仿宋_GB2312"/>
          <w:color w:val="auto"/>
          <w:kern w:val="2"/>
          <w:sz w:val="32"/>
          <w:szCs w:val="32"/>
          <w:lang w:val="en-US" w:eastAsia="zh-CN" w:bidi="ar-SA"/>
        </w:rPr>
        <w:t>和</w:t>
      </w:r>
      <w:r>
        <w:rPr>
          <w:rFonts w:hint="default" w:ascii="仿宋_GB2312" w:hAnsi="仿宋_GB2312" w:eastAsia="仿宋_GB2312" w:cs="仿宋_GB2312"/>
          <w:color w:val="auto"/>
          <w:kern w:val="2"/>
          <w:sz w:val="32"/>
          <w:szCs w:val="32"/>
          <w:lang w:val="en-US" w:eastAsia="zh-CN" w:bidi="ar-SA"/>
        </w:rPr>
        <w:t>知晓度</w:t>
      </w:r>
      <w:r>
        <w:rPr>
          <w:rFonts w:hint="eastAsia" w:ascii="仿宋_GB2312" w:hAnsi="仿宋_GB2312" w:eastAsia="仿宋_GB2312" w:cs="仿宋_GB2312"/>
          <w:color w:val="auto"/>
          <w:kern w:val="2"/>
          <w:sz w:val="32"/>
          <w:szCs w:val="32"/>
          <w:lang w:val="en-US" w:eastAsia="zh-CN" w:bidi="ar-SA"/>
        </w:rPr>
        <w:t>，鼓励退役士兵在返乡报到和就业前窗口期尽早积极参加职业技能培训。</w:t>
      </w:r>
    </w:p>
    <w:p>
      <w:pPr>
        <w:widowControl w:val="0"/>
        <w:spacing w:before="0" w:beforeAutospacing="0" w:after="0" w:afterAutospacing="0" w:line="600" w:lineRule="exact"/>
        <w:ind w:firstLine="640" w:firstLineChars="200"/>
        <w:jc w:val="both"/>
        <w:rPr>
          <w:rFonts w:hint="eastAsia" w:ascii="仿宋_GB2312" w:hAnsi="仿宋_GB2312" w:eastAsia="仿宋_GB2312" w:cs="仿宋_GB2312"/>
          <w:caps w:val="0"/>
          <w:color w:val="222222"/>
          <w:spacing w:val="0"/>
          <w:sz w:val="32"/>
          <w:szCs w:val="32"/>
          <w:lang w:val="en-US" w:eastAsia="zh-CN"/>
        </w:rPr>
      </w:pPr>
      <w:r>
        <w:rPr>
          <w:rFonts w:hint="eastAsia" w:ascii="楷体_GB2312" w:hAnsi="楷体_GB2312" w:eastAsia="楷体_GB2312" w:cs="楷体_GB2312"/>
          <w:b w:val="0"/>
          <w:bCs w:val="0"/>
          <w:color w:val="auto"/>
          <w:kern w:val="2"/>
          <w:sz w:val="32"/>
          <w:szCs w:val="32"/>
          <w:lang w:val="en" w:eastAsia="zh-CN" w:bidi="ar-SA"/>
        </w:rPr>
        <w:t>（三）完善管理制度。</w:t>
      </w:r>
      <w:r>
        <w:rPr>
          <w:rFonts w:hint="eastAsia" w:ascii="仿宋_GB2312" w:hAnsi="仿宋_GB2312" w:eastAsia="仿宋_GB2312" w:cs="仿宋_GB2312"/>
          <w:sz w:val="32"/>
          <w:szCs w:val="32"/>
          <w:lang w:val="en" w:eastAsia="zh-CN"/>
        </w:rPr>
        <w:t>区退役军人事务部门、区财政部门等相关单位要强化退役士兵教育培训补助经费的使用管理，并积极配合有关部门做好监督、审计、稽查工作。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本实施意见印发之日起实行，以往规定与本实施意见不一致的，以本实施意见为准</w:t>
      </w:r>
      <w:r>
        <w:rPr>
          <w:rFonts w:hint="eastAsia" w:hAnsi="仿宋_GB2312" w:cs="仿宋_GB2312"/>
          <w:color w:val="auto"/>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此文件解释权为大兴区退役军人事务局。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附件：1.北京市</w:t>
      </w:r>
      <w:r>
        <w:rPr>
          <w:rFonts w:hint="eastAsia" w:ascii="仿宋_GB2312" w:hAnsi="仿宋_GB2312" w:eastAsia="仿宋_GB2312" w:cs="仿宋_GB2312"/>
          <w:sz w:val="32"/>
          <w:szCs w:val="32"/>
          <w:highlight w:val="none"/>
          <w:u w:val="none"/>
          <w:shd w:val="clear" w:color="auto" w:fill="auto"/>
          <w:lang w:val="en-US" w:eastAsia="zh-CN"/>
        </w:rPr>
        <w:t>大兴区</w:t>
      </w:r>
      <w:r>
        <w:rPr>
          <w:rFonts w:hint="eastAsia" w:ascii="仿宋_GB2312" w:hAnsi="仿宋_GB2312" w:eastAsia="仿宋_GB2312" w:cs="仿宋_GB2312"/>
          <w:b w:val="0"/>
          <w:bCs w:val="0"/>
          <w:color w:val="000000"/>
          <w:sz w:val="32"/>
          <w:szCs w:val="32"/>
          <w:u w:val="none"/>
          <w:lang w:val="en-US" w:eastAsia="zh-CN"/>
        </w:rPr>
        <w:t>退役士兵参加教育培训申请表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highlight w:val="none"/>
          <w:u w:val="none"/>
          <w:shd w:val="clear" w:color="auto" w:fill="auto"/>
          <w:lang w:val="en-US" w:eastAsia="zh-CN"/>
        </w:rPr>
      </w:pPr>
      <w:r>
        <w:rPr>
          <w:rFonts w:hint="eastAsia" w:ascii="仿宋_GB2312" w:hAnsi="仿宋_GB2312" w:eastAsia="仿宋_GB2312" w:cs="仿宋_GB2312"/>
          <w:b w:val="0"/>
          <w:bCs w:val="0"/>
          <w:color w:val="000000"/>
          <w:sz w:val="32"/>
          <w:szCs w:val="32"/>
          <w:u w:val="none"/>
          <w:lang w:val="en-US" w:eastAsia="zh-CN"/>
        </w:rPr>
        <w:t>2.北京市大兴区退役士兵</w:t>
      </w:r>
      <w:r>
        <w:rPr>
          <w:rFonts w:hint="eastAsia" w:ascii="仿宋_GB2312" w:hAnsi="仿宋_GB2312" w:eastAsia="仿宋_GB2312" w:cs="仿宋_GB2312"/>
          <w:sz w:val="32"/>
          <w:szCs w:val="32"/>
          <w:highlight w:val="none"/>
          <w:u w:val="none"/>
          <w:shd w:val="clear" w:color="auto" w:fill="auto"/>
          <w:lang w:val="en-US" w:eastAsia="zh-CN"/>
        </w:rPr>
        <w:t>培训档案表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北京市大兴区退役军人事务局      北京市大兴区教育委员会</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北京市大兴区财政局    北京市大兴区人力资源和社会保障局</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5440" w:firstLineChars="170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2025年**月**日</w:t>
      </w:r>
      <w:bookmarkStart w:id="0" w:name="_GoBack"/>
      <w:bookmarkEnd w:id="0"/>
    </w:p>
    <w:p>
      <w:pPr>
        <w:keepNext w:val="0"/>
        <w:keepLines w:val="0"/>
        <w:pageBreakBefore w:val="0"/>
        <w:widowControl w:val="0"/>
        <w:kinsoku/>
        <w:wordWrap/>
        <w:overflowPunct/>
        <w:topLinePunct w:val="0"/>
        <w:autoSpaceDE/>
        <w:autoSpaceDN/>
        <w:adjustRightInd/>
        <w:snapToGrid/>
        <w:spacing w:line="360" w:lineRule="exact"/>
        <w:ind w:left="0"/>
      </w:pPr>
    </w:p>
    <w:p>
      <w:pPr>
        <w:spacing w:line="480" w:lineRule="exact"/>
        <w:rPr>
          <w:rFonts w:hint="eastAsia" w:ascii="宋体"/>
        </w:rPr>
      </w:pPr>
      <w:r>
        <mc:AlternateContent>
          <mc:Choice Requires="wps">
            <w:drawing>
              <wp:anchor distT="0" distB="0" distL="113665" distR="113665" simplePos="0" relativeHeight="251659264" behindDoc="0" locked="0" layoutInCell="1" allowOverlap="1">
                <wp:simplePos x="0" y="0"/>
                <wp:positionH relativeFrom="column">
                  <wp:posOffset>-17780</wp:posOffset>
                </wp:positionH>
                <wp:positionV relativeFrom="paragraph">
                  <wp:posOffset>376555</wp:posOffset>
                </wp:positionV>
                <wp:extent cx="5600700" cy="28575"/>
                <wp:effectExtent l="0" t="4445" r="7620" b="12700"/>
                <wp:wrapNone/>
                <wp:docPr id="12" name="直线 3"/>
                <wp:cNvGraphicFramePr/>
                <a:graphic xmlns:a="http://schemas.openxmlformats.org/drawingml/2006/main">
                  <a:graphicData uri="http://schemas.microsoft.com/office/word/2010/wordprocessingShape">
                    <wps:wsp>
                      <wps:cNvCnPr/>
                      <wps:spPr>
                        <a:xfrm>
                          <a:off x="0" y="0"/>
                          <a:ext cx="5600699" cy="28575"/>
                        </a:xfrm>
                        <a:prstGeom prst="line">
                          <a:avLst/>
                        </a:prstGeom>
                        <a:noFill/>
                        <a:ln w="4444"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线 3" o:spid="_x0000_s1026" o:spt="20" style="position:absolute;left:0pt;margin-left:-1.4pt;margin-top:29.65pt;height:2.25pt;width:441pt;z-index:251659264;mso-width-relative:page;mso-height-relative:page;" filled="f" stroked="t" coordsize="21600,21600" o:gfxdata="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GzXlnYAAAACAEAAA8AAAAAAAAAAQAgAAAAIgAAAGRycy9kb3ducmV2Lnht&#10;bFBLAQIUABQAAAAIAIdO4kAYihy1+QEAANQDAAAOAAAAAAAAAAEAIAAAACcBAABkcnMvZTJvRG9j&#10;LnhtbFBLBQYAAAAABgAGAFkBAACSBQAAAAA=&#10;">
                <v:fill on="f" focussize="0,0"/>
                <v:stroke weight="0.34992125984252pt" color="#000000" joinstyle="round"/>
                <v:imagedata o:title=""/>
                <o:lock v:ext="edit" aspectratio="f"/>
              </v:lin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-8255</wp:posOffset>
                </wp:positionH>
                <wp:positionV relativeFrom="paragraph">
                  <wp:posOffset>2540</wp:posOffset>
                </wp:positionV>
                <wp:extent cx="5600700" cy="28575"/>
                <wp:effectExtent l="0" t="4445" r="7620" b="12700"/>
                <wp:wrapNone/>
                <wp:docPr id="14" name="直线 4"/>
                <wp:cNvGraphicFramePr/>
                <a:graphic xmlns:a="http://schemas.openxmlformats.org/drawingml/2006/main">
                  <a:graphicData uri="http://schemas.microsoft.com/office/word/2010/wordprocessingShape">
                    <wps:wsp>
                      <wps:cNvCnPr/>
                      <wps:spPr>
                        <a:xfrm>
                          <a:off x="0" y="0"/>
                          <a:ext cx="5600699" cy="28575"/>
                        </a:xfrm>
                        <a:prstGeom prst="line">
                          <a:avLst/>
                        </a:prstGeom>
                        <a:noFill/>
                        <a:ln w="4444"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线 4" o:spid="_x0000_s1026" o:spt="20" style="position:absolute;left:0pt;margin-left:-0.65pt;margin-top:0.2pt;height:2.25pt;width:441pt;z-index:251659264;mso-width-relative:page;mso-height-relative:page;" filled="f" stroked="t" coordsize="21600,21600" o:gfxdata="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gEBC7UAAAABQEAAA8AAAAAAAAAAQAgAAAAIgAAAGRycy9kb3ducmV2LnhtbFBL&#10;AQIUABQAAAAIAIdO4kCxM6L4+gEAANQDAAAOAAAAAAAAAAEAIAAAACMBAABkcnMvZTJvRG9jLnht&#10;bFBLBQYAAAAABgAGAFkBAACPBQAAAAA=&#10;">
                <v:fill on="f" focussize="0,0"/>
                <v:stroke weight="0.34992125984252pt" color="#000000" joinstyle="round"/>
                <v:imagedata o:title=""/>
                <o:lock v:ext="edit" aspectratio="f"/>
              </v:line>
            </w:pict>
          </mc:Fallback>
        </mc:AlternateContent>
      </w:r>
      <w:r>
        <w:rPr>
          <w:rFonts w:hint="eastAsia"/>
        </w:rPr>
        <w:t xml:space="preserve"> </w:t>
      </w:r>
      <w:r>
        <w:rPr>
          <w:rFonts w:hint="eastAsia" w:ascii="仿宋" w:eastAsia="仿宋"/>
          <w:sz w:val="28"/>
          <w:szCs w:val="28"/>
        </w:rPr>
        <w:t xml:space="preserve"> </w:t>
      </w:r>
      <w:r>
        <w:rPr>
          <w:rFonts w:ascii="仿宋" w:eastAsia="仿宋"/>
          <w:spacing w:val="-6"/>
          <w:sz w:val="28"/>
          <w:szCs w:val="28"/>
        </w:rPr>
        <w:t>北京市</w:t>
      </w:r>
      <w:r>
        <w:rPr>
          <w:rFonts w:hint="eastAsia" w:ascii="仿宋" w:eastAsia="仿宋"/>
          <w:spacing w:val="-6"/>
          <w:sz w:val="28"/>
          <w:szCs w:val="28"/>
          <w:lang w:eastAsia="zh-CN"/>
        </w:rPr>
        <w:t>大兴</w:t>
      </w:r>
      <w:r>
        <w:rPr>
          <w:rFonts w:hint="eastAsia" w:ascii="仿宋_GB2312" w:eastAsia="仿宋_GB2312"/>
          <w:bCs/>
          <w:color w:val="000000"/>
          <w:spacing w:val="-6"/>
          <w:sz w:val="28"/>
          <w:szCs w:val="32"/>
        </w:rPr>
        <w:t>区退役军人事务局综合办公室</w:t>
      </w:r>
      <w:r>
        <w:rPr>
          <w:rFonts w:hint="eastAsia" w:ascii="仿宋_GB2312" w:eastAsia="仿宋_GB2312"/>
          <w:bCs/>
          <w:sz w:val="28"/>
          <w:szCs w:val="32"/>
        </w:rPr>
        <w:t xml:space="preserve">   </w:t>
      </w:r>
      <w:r>
        <w:rPr>
          <w:rFonts w:ascii="仿宋_GB2312" w:eastAsia="仿宋_GB2312"/>
          <w:bCs/>
          <w:sz w:val="28"/>
          <w:szCs w:val="32"/>
        </w:rPr>
        <w:t xml:space="preserve">  </w:t>
      </w:r>
      <w:r>
        <w:rPr>
          <w:rFonts w:hint="eastAsia" w:ascii="仿宋_GB2312" w:eastAsia="仿宋_GB2312"/>
          <w:bCs/>
          <w:sz w:val="28"/>
          <w:szCs w:val="32"/>
        </w:rPr>
        <w:t>20</w:t>
      </w:r>
      <w:r>
        <w:rPr>
          <w:rFonts w:ascii="仿宋_GB2312" w:eastAsia="仿宋_GB2312"/>
          <w:bCs/>
          <w:sz w:val="28"/>
          <w:szCs w:val="32"/>
        </w:rPr>
        <w:t>2</w:t>
      </w:r>
      <w:r>
        <w:rPr>
          <w:rFonts w:hint="eastAsia" w:ascii="仿宋_GB2312" w:eastAsia="仿宋_GB2312"/>
          <w:bCs/>
          <w:sz w:val="28"/>
          <w:szCs w:val="32"/>
          <w:lang w:val="en-US" w:eastAsia="zh-CN"/>
        </w:rPr>
        <w:t>5</w:t>
      </w:r>
      <w:r>
        <w:rPr>
          <w:rFonts w:hint="eastAsia" w:ascii="仿宋_GB2312" w:eastAsia="仿宋_GB2312"/>
          <w:bCs/>
          <w:sz w:val="28"/>
          <w:szCs w:val="32"/>
        </w:rPr>
        <w:t>年</w:t>
      </w:r>
      <w:r>
        <w:rPr>
          <w:rFonts w:hint="eastAsia" w:ascii="仿宋_GB2312" w:eastAsia="仿宋_GB2312"/>
          <w:bCs/>
          <w:sz w:val="28"/>
          <w:szCs w:val="32"/>
          <w:lang w:val="en-US" w:eastAsia="zh-CN"/>
        </w:rPr>
        <w:t>**</w:t>
      </w:r>
      <w:r>
        <w:rPr>
          <w:rFonts w:hint="eastAsia" w:ascii="仿宋_GB2312" w:eastAsia="仿宋_GB2312"/>
          <w:bCs/>
          <w:sz w:val="28"/>
          <w:szCs w:val="32"/>
        </w:rPr>
        <w:t>月</w:t>
      </w:r>
      <w:r>
        <w:rPr>
          <w:rFonts w:hint="eastAsia" w:ascii="仿宋_GB2312" w:eastAsia="仿宋_GB2312"/>
          <w:bCs/>
          <w:sz w:val="28"/>
          <w:szCs w:val="32"/>
          <w:lang w:val="en-US" w:eastAsia="zh-CN"/>
        </w:rPr>
        <w:t>**</w:t>
      </w:r>
      <w:r>
        <w:rPr>
          <w:rFonts w:hint="eastAsia" w:ascii="仿宋_GB2312" w:eastAsia="仿宋_GB2312"/>
          <w:bCs/>
          <w:sz w:val="28"/>
          <w:szCs w:val="32"/>
        </w:rPr>
        <w:t>日印发</w:t>
      </w:r>
      <w:r>
        <w:rPr>
          <w:rFonts w:hint="eastAsia" w:ascii="宋体"/>
        </w:rPr>
        <w:t xml:space="preserve">  </w:t>
      </w:r>
      <w:r>
        <w:rPr>
          <w:rFonts w:hint="eastAsia" w:ascii="宋体"/>
          <w:sz w:val="28"/>
        </w:rPr>
        <w:t xml:space="preserve"> </w:t>
      </w:r>
      <w:r>
        <w:rPr>
          <w:rFonts w:hint="eastAsia" w:ascii="宋体"/>
        </w:rPr>
        <w:t xml:space="preserve"> </w:t>
      </w:r>
    </w:p>
    <w:p>
      <w:pPr>
        <w:jc w:val="left"/>
        <w:rPr>
          <w:rFonts w:hint="eastAsia" w:ascii="黑体" w:hAnsi="黑体" w:eastAsia="黑体" w:cs="黑体"/>
          <w:sz w:val="28"/>
          <w:szCs w:val="28"/>
          <w:u w:val="none"/>
          <w:lang w:val="en-US" w:eastAsia="zh-CN"/>
        </w:rPr>
        <w:sectPr>
          <w:footerReference r:id="rId3" w:type="default"/>
          <w:footerReference r:id="rId4" w:type="even"/>
          <w:pgSz w:w="11907" w:h="16840"/>
          <w:pgMar w:top="2098" w:right="1474" w:bottom="1984" w:left="1587" w:header="851" w:footer="992" w:gutter="0"/>
          <w:pgNumType w:fmt="numberInDash" w:start="1"/>
          <w:cols w:space="720" w:num="1"/>
          <w:docGrid w:type="lines" w:linePitch="312" w:charSpace="0"/>
        </w:sectPr>
      </w:pPr>
    </w:p>
    <w:p>
      <w:pPr>
        <w:jc w:val="left"/>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附件1</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CESI仿宋-GB2312" w:hAnsi="CESI仿宋-GB2312" w:eastAsia="CESI仿宋-GB2312" w:cs="CESI仿宋-GB2312"/>
          <w:sz w:val="36"/>
          <w:szCs w:val="36"/>
          <w:highlight w:val="none"/>
          <w:u w:val="none"/>
          <w:shd w:val="clear" w:color="auto" w:fill="auto"/>
          <w:lang w:val="en-US" w:eastAsia="zh-CN"/>
        </w:rPr>
      </w:pPr>
      <w:r>
        <w:rPr>
          <w:rFonts w:hint="eastAsia" w:ascii="方正小标宋简体" w:hAnsi="方正小标宋简体" w:eastAsia="方正小标宋简体" w:cs="方正小标宋简体"/>
          <w:sz w:val="36"/>
          <w:szCs w:val="36"/>
          <w:u w:val="none"/>
          <w:lang w:val="en-US" w:eastAsia="zh-CN"/>
        </w:rPr>
        <w:t>北京市大兴区退役士兵参加教育培训申请表</w:t>
      </w:r>
    </w:p>
    <w:tbl>
      <w:tblPr>
        <w:tblStyle w:val="4"/>
        <w:tblW w:w="98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89"/>
        <w:gridCol w:w="206"/>
        <w:gridCol w:w="1327"/>
        <w:gridCol w:w="1246"/>
        <w:gridCol w:w="310"/>
        <w:gridCol w:w="809"/>
        <w:gridCol w:w="1246"/>
        <w:gridCol w:w="929"/>
        <w:gridCol w:w="594"/>
        <w:gridCol w:w="1940"/>
        <w:gridCol w:w="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姓    名</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性    别</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出生年月</w:t>
            </w:r>
          </w:p>
        </w:tc>
        <w:tc>
          <w:tcPr>
            <w:tcW w:w="15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989"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民    族</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政治面貌</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文化程度</w:t>
            </w:r>
          </w:p>
        </w:tc>
        <w:tc>
          <w:tcPr>
            <w:tcW w:w="15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989" w:type="dxa"/>
            <w:gridSpan w:val="2"/>
            <w:vMerge w:val="continue"/>
            <w:tcBorders>
              <w:top w:val="single" w:color="000000" w:sz="4" w:space="0"/>
              <w:left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1"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入伍时间</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退伍时间</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安置地</w:t>
            </w:r>
          </w:p>
        </w:tc>
        <w:tc>
          <w:tcPr>
            <w:tcW w:w="15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989" w:type="dxa"/>
            <w:gridSpan w:val="2"/>
            <w:vMerge w:val="continue"/>
            <w:tcBorders>
              <w:top w:val="single" w:color="000000" w:sz="4" w:space="0"/>
              <w:left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身份证号</w:t>
            </w:r>
          </w:p>
        </w:tc>
        <w:tc>
          <w:tcPr>
            <w:tcW w:w="369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联系电话</w:t>
            </w:r>
          </w:p>
        </w:tc>
        <w:tc>
          <w:tcPr>
            <w:tcW w:w="15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989" w:type="dxa"/>
            <w:gridSpan w:val="2"/>
            <w:vMerge w:val="continue"/>
            <w:tcBorders>
              <w:top w:val="single" w:color="000000" w:sz="4" w:space="0"/>
              <w:left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1"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家庭住址</w:t>
            </w:r>
          </w:p>
        </w:tc>
        <w:tc>
          <w:tcPr>
            <w:tcW w:w="3692" w:type="dxa"/>
            <w:gridSpan w:val="4"/>
            <w:tcBorders>
              <w:top w:val="single" w:color="000000" w:sz="4" w:space="0"/>
              <w:left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邮政编码</w:t>
            </w:r>
          </w:p>
        </w:tc>
        <w:tc>
          <w:tcPr>
            <w:tcW w:w="1523" w:type="dxa"/>
            <w:gridSpan w:val="2"/>
            <w:tcBorders>
              <w:top w:val="single" w:color="000000" w:sz="4" w:space="0"/>
              <w:left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1989" w:type="dxa"/>
            <w:gridSpan w:val="2"/>
            <w:vMerge w:val="continue"/>
            <w:tcBorders>
              <w:top w:val="single" w:color="000000" w:sz="4" w:space="0"/>
              <w:left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2"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特    长</w:t>
            </w:r>
          </w:p>
        </w:tc>
        <w:tc>
          <w:tcPr>
            <w:tcW w:w="8450"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6"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简    历</w:t>
            </w:r>
          </w:p>
        </w:tc>
        <w:tc>
          <w:tcPr>
            <w:tcW w:w="8450"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2" w:hRule="atLeast"/>
          <w:jc w:val="center"/>
        </w:trPr>
        <w:tc>
          <w:tcPr>
            <w:tcW w:w="1395"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报读性质</w:t>
            </w:r>
          </w:p>
        </w:tc>
        <w:tc>
          <w:tcPr>
            <w:tcW w:w="8450" w:type="dxa"/>
            <w:gridSpan w:val="9"/>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 xml:space="preserve">□技工学校     □中专学校     □高等学院       □培训机构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8" w:hRule="atLeast"/>
          <w:jc w:val="center"/>
        </w:trPr>
        <w:tc>
          <w:tcPr>
            <w:tcW w:w="984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志愿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1" w:hRule="atLeast"/>
          <w:jc w:val="center"/>
        </w:trPr>
        <w:tc>
          <w:tcPr>
            <w:tcW w:w="427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学校（院）、机构</w:t>
            </w:r>
          </w:p>
        </w:tc>
        <w:tc>
          <w:tcPr>
            <w:tcW w:w="29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专业</w:t>
            </w:r>
          </w:p>
        </w:tc>
        <w:tc>
          <w:tcPr>
            <w:tcW w:w="25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是否服从调配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jc w:val="center"/>
        </w:trPr>
        <w:tc>
          <w:tcPr>
            <w:tcW w:w="4278"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29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c>
          <w:tcPr>
            <w:tcW w:w="258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4"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479" w:leftChars="228" w:firstLine="0" w:firstLineChars="0"/>
              <w:jc w:val="left"/>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本    人     申    请</w:t>
            </w:r>
          </w:p>
        </w:tc>
        <w:tc>
          <w:tcPr>
            <w:tcW w:w="8656" w:type="dxa"/>
            <w:gridSpan w:val="10"/>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我申请参加退役士兵教育培训，培训期间保证服从管理，遵守法律法规和培训纪律，认真学习，按要求完成学习任务。因本人原因未完成学业的，一切后果由本人负责。</w:t>
            </w:r>
          </w:p>
          <w:p>
            <w:pPr>
              <w:ind w:firstLine="480" w:firstLineChars="2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                                           </w:t>
            </w:r>
          </w:p>
          <w:p>
            <w:pPr>
              <w:ind w:firstLine="5520" w:firstLineChars="2300"/>
              <w:jc w:val="left"/>
              <w:rPr>
                <w:rFonts w:hint="eastAsia" w:ascii="CESI仿宋-GB2312" w:hAnsi="CESI仿宋-GB2312" w:eastAsia="CESI仿宋-GB2312" w:cs="CESI仿宋-GB2312"/>
                <w:i w:val="0"/>
                <w:color w:val="000000"/>
                <w:sz w:val="24"/>
                <w:szCs w:val="24"/>
                <w:u w:val="none"/>
              </w:rPr>
            </w:pPr>
            <w:r>
              <w:rPr>
                <w:rFonts w:hint="eastAsia" w:ascii="仿宋_GB2312" w:hAnsi="仿宋_GB2312" w:eastAsia="仿宋_GB2312" w:cs="仿宋_GB2312"/>
                <w:color w:val="auto"/>
                <w:sz w:val="24"/>
                <w:szCs w:val="24"/>
                <w:highlight w:val="none"/>
                <w:u w:val="none"/>
                <w:lang w:val="en-US" w:eastAsia="zh-CN"/>
              </w:rPr>
              <w:t>申请人：</w:t>
            </w:r>
            <w:r>
              <w:rPr>
                <w:rFonts w:hint="eastAsia" w:ascii="仿宋_GB2312" w:hAnsi="仿宋_GB2312" w:eastAsia="仿宋_GB2312" w:cs="仿宋_GB2312"/>
                <w:color w:val="auto"/>
                <w:sz w:val="24"/>
                <w:szCs w:val="24"/>
                <w:highlight w:val="none"/>
                <w:u w:val="none"/>
                <w:lang w:val="en-US" w:eastAsia="zh-CN"/>
              </w:rPr>
              <w:br w:type="textWrapping"/>
            </w:r>
            <w:r>
              <w:rPr>
                <w:rFonts w:hint="eastAsia" w:ascii="仿宋_GB2312" w:hAnsi="仿宋_GB2312" w:eastAsia="仿宋_GB2312" w:cs="仿宋_GB2312"/>
                <w:color w:val="auto"/>
                <w:sz w:val="24"/>
                <w:szCs w:val="24"/>
                <w:highlight w:val="none"/>
                <w:u w:val="none"/>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9" w:type="dxa"/>
          <w:trHeight w:val="1260" w:hRule="atLeast"/>
          <w:jc w:val="center"/>
        </w:trPr>
        <w:tc>
          <w:tcPr>
            <w:tcW w:w="9796"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630" w:hanging="632" w:hangingChars="300"/>
              <w:jc w:val="left"/>
              <w:textAlignment w:val="auto"/>
              <w:rPr>
                <w:rFonts w:hint="eastAsia" w:ascii="仿宋_GB2312" w:hAnsi="仿宋_GB2312" w:eastAsia="仿宋_GB2312" w:cs="仿宋_GB2312"/>
                <w:color w:val="000000"/>
                <w:sz w:val="21"/>
                <w:szCs w:val="21"/>
                <w:u w:val="none"/>
                <w:lang w:val="en-US" w:eastAsia="zh-CN"/>
              </w:rPr>
            </w:pPr>
            <w:r>
              <w:rPr>
                <w:rFonts w:hint="eastAsia" w:ascii="CESI仿宋-GB2312" w:hAnsi="CESI仿宋-GB2312" w:eastAsia="CESI仿宋-GB2312" w:cs="CESI仿宋-GB2312"/>
                <w:b/>
                <w:bCs/>
                <w:i w:val="0"/>
                <w:color w:val="000000"/>
                <w:kern w:val="0"/>
                <w:sz w:val="21"/>
                <w:szCs w:val="21"/>
                <w:u w:val="none"/>
                <w:lang w:val="en-US" w:eastAsia="zh-CN" w:bidi="ar"/>
              </w:rPr>
              <w:t>备注：</w:t>
            </w:r>
            <w:r>
              <w:rPr>
                <w:rFonts w:hint="eastAsia" w:ascii="CESI仿宋-GB2312" w:hAnsi="CESI仿宋-GB2312" w:eastAsia="CESI仿宋-GB2312" w:cs="CESI仿宋-GB2312"/>
                <w:i w:val="0"/>
                <w:color w:val="000000"/>
                <w:kern w:val="0"/>
                <w:sz w:val="21"/>
                <w:szCs w:val="21"/>
                <w:u w:val="none"/>
                <w:lang w:val="en-US" w:eastAsia="zh-CN" w:bidi="ar"/>
              </w:rPr>
              <w:t>1.每</w:t>
            </w:r>
            <w:r>
              <w:rPr>
                <w:rFonts w:hint="eastAsia" w:ascii="仿宋_GB2312" w:hAnsi="仿宋_GB2312" w:eastAsia="仿宋_GB2312" w:cs="仿宋_GB2312"/>
                <w:color w:val="000000"/>
                <w:sz w:val="21"/>
                <w:szCs w:val="21"/>
                <w:u w:val="none"/>
                <w:lang w:val="en-US" w:eastAsia="zh-CN"/>
              </w:rPr>
              <w:t>人限报一所学校（院），及本校（院）的一个专业。</w:t>
            </w:r>
            <w:r>
              <w:rPr>
                <w:rFonts w:hint="eastAsia" w:ascii="仿宋_GB2312" w:hAnsi="仿宋_GB2312" w:eastAsia="仿宋_GB2312" w:cs="仿宋_GB2312"/>
                <w:color w:val="000000"/>
                <w:sz w:val="21"/>
                <w:szCs w:val="21"/>
                <w:u w:val="none"/>
                <w:lang w:val="en-US" w:eastAsia="zh-CN"/>
              </w:rPr>
              <w:br w:type="textWrapping"/>
            </w:r>
            <w:r>
              <w:rPr>
                <w:rFonts w:hint="eastAsia" w:ascii="仿宋_GB2312" w:hAnsi="仿宋_GB2312" w:eastAsia="仿宋_GB2312" w:cs="仿宋_GB2312"/>
                <w:color w:val="000000"/>
                <w:sz w:val="21"/>
                <w:szCs w:val="21"/>
                <w:u w:val="none"/>
                <w:lang w:val="en-US" w:eastAsia="zh-CN"/>
              </w:rPr>
              <w:t>2.职业技能培训费用低于补助标准的，按照实际费用给予报销；超过补助标准的，超出部分由退役士兵个人承担。</w:t>
            </w:r>
          </w:p>
          <w:p>
            <w:pPr>
              <w:ind w:firstLine="630" w:firstLineChars="300"/>
              <w:jc w:val="left"/>
              <w:rPr>
                <w:rFonts w:hint="eastAsia" w:ascii="仿宋_GB2312" w:hAnsi="仿宋_GB2312" w:eastAsia="仿宋_GB2312" w:cs="仿宋_GB2312"/>
                <w:color w:val="000000"/>
                <w:sz w:val="21"/>
                <w:szCs w:val="21"/>
                <w:u w:val="none"/>
                <w:lang w:val="en-US" w:eastAsia="zh-CN"/>
              </w:rPr>
            </w:pPr>
            <w:r>
              <w:rPr>
                <w:rFonts w:hint="eastAsia" w:ascii="仿宋_GB2312" w:hAnsi="仿宋_GB2312" w:eastAsia="仿宋_GB2312" w:cs="仿宋_GB2312"/>
                <w:color w:val="000000"/>
                <w:sz w:val="21"/>
                <w:szCs w:val="21"/>
                <w:u w:val="none"/>
                <w:lang w:val="en-US" w:eastAsia="zh-CN"/>
              </w:rPr>
              <w:t>3.自主就业退役士兵可在法定退休年龄前接受一次免费职业技能培训。</w:t>
            </w:r>
          </w:p>
        </w:tc>
      </w:tr>
    </w:tbl>
    <w:p>
      <w:pPr>
        <w:jc w:val="left"/>
        <w:rPr>
          <w:rFonts w:hint="eastAsia" w:ascii="黑体" w:hAnsi="黑体" w:eastAsia="黑体" w:cs="黑体"/>
          <w:sz w:val="28"/>
          <w:szCs w:val="28"/>
          <w:u w:val="none"/>
          <w:lang w:eastAsia="zh-CN"/>
        </w:rPr>
      </w:pPr>
    </w:p>
    <w:p>
      <w:pPr>
        <w:jc w:val="left"/>
        <w:rPr>
          <w:rFonts w:hint="eastAsia" w:ascii="黑体" w:hAnsi="黑体" w:eastAsia="黑体" w:cs="黑体"/>
          <w:sz w:val="28"/>
          <w:szCs w:val="28"/>
          <w:u w:val="none"/>
          <w:lang w:eastAsia="zh-CN"/>
        </w:rPr>
      </w:pPr>
    </w:p>
    <w:p>
      <w:pPr>
        <w:jc w:val="left"/>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2</w:t>
      </w:r>
    </w:p>
    <w:tbl>
      <w:tblPr>
        <w:tblStyle w:val="4"/>
        <w:tblW w:w="8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2"/>
        <w:gridCol w:w="6915"/>
        <w:gridCol w:w="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5" w:type="dxa"/>
          <w:trHeight w:val="1700" w:hRule="atLeast"/>
        </w:trPr>
        <w:tc>
          <w:tcPr>
            <w:tcW w:w="8887" w:type="dxa"/>
            <w:gridSpan w:val="2"/>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1"/>
                <w:szCs w:val="21"/>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北京市</w:t>
            </w:r>
            <w:r>
              <w:rPr>
                <w:rFonts w:hint="eastAsia" w:ascii="方正小标宋简体" w:hAnsi="方正小标宋简体" w:eastAsia="方正小标宋简体" w:cs="方正小标宋简体"/>
                <w:i w:val="0"/>
                <w:color w:val="000000"/>
                <w:kern w:val="0"/>
                <w:sz w:val="32"/>
                <w:szCs w:val="32"/>
                <w:u w:val="single"/>
                <w:lang w:val="en-US" w:eastAsia="zh-CN" w:bidi="ar"/>
              </w:rPr>
              <w:t xml:space="preserve"> 大兴 </w:t>
            </w:r>
            <w:r>
              <w:rPr>
                <w:rFonts w:hint="eastAsia" w:ascii="方正小标宋简体" w:hAnsi="方正小标宋简体" w:eastAsia="方正小标宋简体" w:cs="方正小标宋简体"/>
                <w:i w:val="0"/>
                <w:color w:val="000000"/>
                <w:kern w:val="0"/>
                <w:sz w:val="32"/>
                <w:szCs w:val="32"/>
                <w:u w:val="none"/>
                <w:lang w:val="en-US" w:eastAsia="zh-CN" w:bidi="ar"/>
              </w:rPr>
              <w:t>区退役士兵培训档案表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姓名</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ind w:right="1491" w:rightChars="710"/>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培训时间</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培训机构</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培训科目</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培训课时</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培训形式</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□线上       □线下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课程完成情况</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是否取证</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□技能证  □结业证  □未取证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培训后就业情况</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培训经费结算情况</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备注</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4"/>
                <w:szCs w:val="24"/>
                <w:u w:val="none"/>
              </w:rPr>
            </w:pP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62" w:type="dxa"/>
            <w:gridSpan w:val="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sz w:val="24"/>
                <w:szCs w:val="24"/>
                <w:u w:val="none"/>
                <w:lang w:val="en"/>
              </w:rPr>
            </w:pPr>
            <w:r>
              <w:rPr>
                <w:rFonts w:hint="eastAsia" w:ascii="宋体" w:hAnsi="宋体" w:eastAsia="宋体" w:cs="宋体"/>
                <w:b/>
                <w:i w:val="0"/>
                <w:color w:val="000000"/>
                <w:kern w:val="0"/>
                <w:sz w:val="24"/>
                <w:szCs w:val="24"/>
                <w:u w:val="none"/>
                <w:lang w:val="en-US" w:eastAsia="zh-CN" w:bidi="ar"/>
              </w:rPr>
              <w:t>本人签字：                                        审核人签字：</w:t>
            </w:r>
            <w:r>
              <w:rPr>
                <w:rFonts w:hint="default" w:ascii="宋体" w:hAnsi="宋体" w:eastAsia="宋体" w:cs="宋体"/>
                <w:b/>
                <w:i w:val="0"/>
                <w:color w:val="000000"/>
                <w:kern w:val="0"/>
                <w:sz w:val="24"/>
                <w:szCs w:val="24"/>
                <w:u w:val="none"/>
                <w:lang w:val="en"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trPr>
        <w:tc>
          <w:tcPr>
            <w:tcW w:w="8962" w:type="dxa"/>
            <w:gridSpan w:val="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时    间：                                        时   间：</w:t>
            </w:r>
          </w:p>
        </w:tc>
      </w:tr>
    </w:tbl>
    <w:p>
      <w:pPr>
        <w:ind w:firstLine="630" w:firstLineChars="300"/>
        <w:jc w:val="both"/>
        <w:rPr>
          <w:rFonts w:hint="eastAsia" w:ascii="宋体"/>
        </w:rPr>
      </w:pPr>
    </w:p>
    <w:p/>
    <w:sectPr>
      <w:footerReference r:id="rId5" w:type="default"/>
      <w:pgSz w:w="11907" w:h="16840"/>
      <w:pgMar w:top="1701" w:right="1531" w:bottom="147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pBdr>
      <w:ind w:right="360" w:firstLine="360"/>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pBdr>
                            <w:rPr>
                              <w:rStyle w:val="6"/>
                              <w:rFonts w:hint="eastAsia" w:asciiTheme="minorEastAsia" w:hAnsiTheme="minorEastAsia" w:eastAsiaTheme="minorEastAsia" w:cstheme="minorEastAsia"/>
                              <w:w w:val="150"/>
                              <w:sz w:val="28"/>
                              <w:szCs w:val="28"/>
                            </w:rPr>
                          </w:pPr>
                          <w:r>
                            <w:rPr>
                              <w:rStyle w:val="6"/>
                              <w:rFonts w:hint="eastAsia" w:asciiTheme="minorEastAsia" w:hAnsiTheme="minorEastAsia" w:eastAsiaTheme="minorEastAsia" w:cstheme="minorEastAsia"/>
                              <w:sz w:val="28"/>
                              <w:szCs w:val="28"/>
                            </w:rPr>
                            <w:fldChar w:fldCharType="begin"/>
                          </w:r>
                          <w:r>
                            <w:rPr>
                              <w:rStyle w:val="6"/>
                              <w:rFonts w:hint="eastAsia" w:asciiTheme="minorEastAsia" w:hAnsiTheme="minorEastAsia" w:eastAsiaTheme="minorEastAsia" w:cstheme="minorEastAsia"/>
                              <w:sz w:val="28"/>
                              <w:szCs w:val="28"/>
                            </w:rPr>
                            <w:instrText xml:space="preserve">Page</w:instrText>
                          </w:r>
                          <w:r>
                            <w:rPr>
                              <w:rStyle w:val="6"/>
                              <w:rFonts w:hint="eastAsia" w:asciiTheme="minorEastAsia" w:hAnsiTheme="minorEastAsia" w:eastAsiaTheme="minorEastAsia" w:cstheme="minorEastAsia"/>
                              <w:sz w:val="28"/>
                              <w:szCs w:val="28"/>
                            </w:rPr>
                            <w:fldChar w:fldCharType="separate"/>
                          </w:r>
                          <w:r>
                            <w:rPr>
                              <w:rStyle w:val="6"/>
                              <w:rFonts w:hint="eastAsia" w:asciiTheme="minorEastAsia" w:hAnsiTheme="minorEastAsia" w:eastAsiaTheme="minorEastAsia" w:cstheme="minorEastAsia"/>
                              <w:sz w:val="28"/>
                              <w:szCs w:val="28"/>
                            </w:rPr>
                            <w:t>- 1 -</w:t>
                          </w:r>
                          <w:r>
                            <w:rPr>
                              <w:rStyle w:val="6"/>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pBdr>
                      <w:rPr>
                        <w:rStyle w:val="6"/>
                        <w:rFonts w:hint="eastAsia" w:asciiTheme="minorEastAsia" w:hAnsiTheme="minorEastAsia" w:eastAsiaTheme="minorEastAsia" w:cstheme="minorEastAsia"/>
                        <w:w w:val="150"/>
                        <w:sz w:val="28"/>
                        <w:szCs w:val="28"/>
                      </w:rPr>
                    </w:pPr>
                    <w:r>
                      <w:rPr>
                        <w:rStyle w:val="6"/>
                        <w:rFonts w:hint="eastAsia" w:asciiTheme="minorEastAsia" w:hAnsiTheme="minorEastAsia" w:eastAsiaTheme="minorEastAsia" w:cstheme="minorEastAsia"/>
                        <w:sz w:val="28"/>
                        <w:szCs w:val="28"/>
                      </w:rPr>
                      <w:fldChar w:fldCharType="begin"/>
                    </w:r>
                    <w:r>
                      <w:rPr>
                        <w:rStyle w:val="6"/>
                        <w:rFonts w:hint="eastAsia" w:asciiTheme="minorEastAsia" w:hAnsiTheme="minorEastAsia" w:eastAsiaTheme="minorEastAsia" w:cstheme="minorEastAsia"/>
                        <w:sz w:val="28"/>
                        <w:szCs w:val="28"/>
                      </w:rPr>
                      <w:instrText xml:space="preserve">Page</w:instrText>
                    </w:r>
                    <w:r>
                      <w:rPr>
                        <w:rStyle w:val="6"/>
                        <w:rFonts w:hint="eastAsia" w:asciiTheme="minorEastAsia" w:hAnsiTheme="minorEastAsia" w:eastAsiaTheme="minorEastAsia" w:cstheme="minorEastAsia"/>
                        <w:sz w:val="28"/>
                        <w:szCs w:val="28"/>
                      </w:rPr>
                      <w:fldChar w:fldCharType="separate"/>
                    </w:r>
                    <w:r>
                      <w:rPr>
                        <w:rStyle w:val="6"/>
                        <w:rFonts w:hint="eastAsia" w:asciiTheme="minorEastAsia" w:hAnsiTheme="minorEastAsia" w:eastAsiaTheme="minorEastAsia" w:cstheme="minorEastAsia"/>
                        <w:sz w:val="28"/>
                        <w:szCs w:val="28"/>
                      </w:rPr>
                      <w:t>- 1 -</w:t>
                    </w:r>
                    <w:r>
                      <w:rPr>
                        <w:rStyle w:val="6"/>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pBdr>
    </w:pPr>
    <w:r>
      <w:rPr>
        <w:rStyle w:val="6"/>
      </w:rPr>
      <w:fldChar w:fldCharType="begin"/>
    </w:r>
    <w:r>
      <w:rPr>
        <w:rStyle w:val="6"/>
      </w:rPr>
      <w:instrText xml:space="preserve">Page</w:instrText>
    </w:r>
    <w:r>
      <w:rPr>
        <w:rStyle w:val="6"/>
      </w:rPr>
      <w:fldChar w:fldCharType="separate"/>
    </w:r>
    <w:r>
      <w:rPr>
        <w:rStyle w:val="6"/>
      </w:rPr>
      <w:t>- 2 -</w:t>
    </w:r>
    <w:r>
      <w:rPr>
        <w:rStyle w:val="6"/>
      </w:rPr>
      <w:fldChar w:fldCharType="end"/>
    </w:r>
  </w:p>
  <w:p>
    <w:pPr>
      <w:pStyle w:val="2"/>
      <w:framePr w:wrap="around" w:vAnchor="text" w:hAnchor="margin" w:xAlign="right" w:y="1"/>
      <w:pBdr>
        <w:top w:val="none" w:color="auto" w:sz="0" w:space="0"/>
        <w:left w:val="none" w:color="auto" w:sz="0" w:space="0"/>
        <w:bottom w:val="none" w:color="auto" w:sz="0" w:space="0"/>
        <w:right w:val="none" w:color="auto" w:sz="0" w:space="0"/>
      </w:pBdr>
      <w:ind w:right="360" w:firstLine="360"/>
    </w:pPr>
    <w:r>
      <w:rPr>
        <w:rStyle w:val="6"/>
      </w:rPr>
      <w:fldChar w:fldCharType="begin"/>
    </w:r>
    <w:r>
      <w:rPr>
        <w:rStyle w:val="6"/>
      </w:rPr>
      <w:instrText xml:space="preserve">Page</w:instrText>
    </w:r>
    <w:r>
      <w:rPr>
        <w:rStyle w:val="6"/>
      </w:rPr>
      <w:fldChar w:fldCharType="separate"/>
    </w:r>
    <w:r>
      <w:rPr>
        <w:rStyle w:val="6"/>
      </w:rPr>
      <w:t>- 1 -</w: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pBdr>
      <w:ind w:right="360" w:firstLine="360"/>
      <w:rPr>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C935A"/>
    <w:multiLevelType w:val="singleLevel"/>
    <w:tmpl w:val="677C935A"/>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51E9E"/>
    <w:rsid w:val="49E51E9E"/>
    <w:rsid w:val="4A230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2025-05-21T09:29:00Z</dcterms:created>
  <dc:creator>Administrator</dc:creator>
  <cp:lastModifiedBy>Administrator</cp:lastModifiedBy>
  <dcterms:modified xsi:type="dcterms:W3CDTF">2025-05-21T09:42:52Z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