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7B2C3">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ascii="华文中宋" w:hAnsi="华文中宋" w:eastAsia="华文中宋"/>
          <w:b/>
          <w:color w:val="000000" w:themeColor="text1"/>
          <w:sz w:val="44"/>
          <w:szCs w:val="44"/>
          <w14:textFill>
            <w14:solidFill>
              <w14:schemeClr w14:val="tx1"/>
            </w14:solidFill>
          </w14:textFill>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0B7307AC">
      <w:pPr>
        <w:spacing w:line="620" w:lineRule="exact"/>
        <w:jc w:val="center"/>
        <w:rPr>
          <w:rFonts w:ascii="华文中宋" w:hAnsi="华文中宋" w:eastAsia="华文中宋"/>
          <w:b/>
          <w:color w:val="000000" w:themeColor="text1"/>
          <w:sz w:val="44"/>
          <w:szCs w:val="44"/>
          <w14:textFill>
            <w14:solidFill>
              <w14:schemeClr w14:val="tx1"/>
            </w14:solidFill>
          </w14:textFill>
        </w:rPr>
      </w:pPr>
    </w:p>
    <w:p w14:paraId="0C62B509">
      <w:pPr>
        <w:spacing w:line="700" w:lineRule="exact"/>
        <w:jc w:val="center"/>
        <w:rPr>
          <w:rFonts w:ascii="方正小标宋简体" w:hAnsi="方正小标宋简体" w:eastAsia="方正小标宋简体" w:cs="方正小标宋简体"/>
          <w:color w:val="000000" w:themeColor="text1"/>
          <w:sz w:val="48"/>
          <w:szCs w:val="48"/>
          <w14:textFill>
            <w14:solidFill>
              <w14:schemeClr w14:val="tx1"/>
            </w14:solidFill>
          </w14:textFill>
        </w:rPr>
      </w:pPr>
      <w:r>
        <w:rPr>
          <w:rFonts w:hint="eastAsia" w:ascii="方正小标宋简体" w:hAnsi="方正小标宋简体" w:eastAsia="方正小标宋简体" w:cs="方正小标宋简体"/>
          <w:color w:val="000000" w:themeColor="text1"/>
          <w:sz w:val="48"/>
          <w:szCs w:val="48"/>
          <w14:textFill>
            <w14:solidFill>
              <w14:schemeClr w14:val="tx1"/>
            </w14:solidFill>
          </w14:textFill>
        </w:rPr>
        <w:t>202</w:t>
      </w:r>
      <w:r>
        <w:rPr>
          <w:rFonts w:hint="eastAsia" w:ascii="方正小标宋简体" w:hAnsi="方正小标宋简体" w:eastAsia="方正小标宋简体" w:cs="方正小标宋简体"/>
          <w:color w:val="000000" w:themeColor="text1"/>
          <w:sz w:val="48"/>
          <w:szCs w:val="48"/>
          <w:lang w:val="en-US" w:eastAsia="zh-CN"/>
          <w14:textFill>
            <w14:solidFill>
              <w14:schemeClr w14:val="tx1"/>
            </w14:solidFill>
          </w14:textFill>
        </w:rPr>
        <w:t>4</w:t>
      </w:r>
      <w:r>
        <w:rPr>
          <w:rFonts w:hint="eastAsia" w:ascii="方正小标宋简体" w:hAnsi="方正小标宋简体" w:eastAsia="方正小标宋简体" w:cs="方正小标宋简体"/>
          <w:color w:val="000000" w:themeColor="text1"/>
          <w:sz w:val="48"/>
          <w:szCs w:val="48"/>
          <w14:textFill>
            <w14:solidFill>
              <w14:schemeClr w14:val="tx1"/>
            </w14:solidFill>
          </w14:textFill>
        </w:rPr>
        <w:t>年新建和规范提升生活性服务业</w:t>
      </w:r>
    </w:p>
    <w:p w14:paraId="6BD2FC9D">
      <w:pPr>
        <w:spacing w:line="700" w:lineRule="exact"/>
        <w:jc w:val="center"/>
        <w:rPr>
          <w:rFonts w:hint="eastAsia" w:ascii="方正小标宋简体" w:hAnsi="方正小标宋简体" w:eastAsia="方正小标宋简体" w:cs="方正小标宋简体"/>
          <w:color w:val="000000" w:themeColor="text1"/>
          <w:sz w:val="48"/>
          <w:szCs w:val="48"/>
          <w14:textFill>
            <w14:solidFill>
              <w14:schemeClr w14:val="tx1"/>
            </w14:solidFill>
          </w14:textFill>
        </w:rPr>
      </w:pPr>
      <w:r>
        <w:rPr>
          <w:rFonts w:hint="eastAsia" w:ascii="方正小标宋简体" w:hAnsi="方正小标宋简体" w:eastAsia="方正小标宋简体" w:cs="方正小标宋简体"/>
          <w:color w:val="000000" w:themeColor="text1"/>
          <w:sz w:val="48"/>
          <w:szCs w:val="48"/>
          <w14:textFill>
            <w14:solidFill>
              <w14:schemeClr w14:val="tx1"/>
            </w14:solidFill>
          </w14:textFill>
        </w:rPr>
        <w:t>网点项目申报指南</w:t>
      </w:r>
    </w:p>
    <w:p w14:paraId="146B42CC">
      <w:pPr>
        <w:pStyle w:val="2"/>
        <w:jc w:val="center"/>
        <w:rPr>
          <w:rFonts w:hint="eastAsia" w:eastAsia="方正小标宋简体"/>
          <w:sz w:val="16"/>
          <w:szCs w:val="20"/>
          <w:lang w:eastAsia="zh-CN"/>
        </w:rPr>
      </w:pPr>
      <w:bookmarkStart w:id="0" w:name="OLE_LINK11"/>
      <w:r>
        <w:rPr>
          <w:rFonts w:hint="eastAsia" w:ascii="方正小标宋简体" w:hAnsi="方正小标宋简体" w:eastAsia="方正小标宋简体" w:cs="方正小标宋简体"/>
          <w:color w:val="000000" w:themeColor="text1"/>
          <w:sz w:val="36"/>
          <w:szCs w:val="36"/>
          <w:lang w:eastAsia="zh-CN"/>
          <w14:textFill>
            <w14:solidFill>
              <w14:schemeClr w14:val="tx1"/>
            </w14:solidFill>
          </w14:textFill>
        </w:rPr>
        <w:t>（征求意见稿）</w:t>
      </w:r>
    </w:p>
    <w:bookmarkEnd w:id="0"/>
    <w:p w14:paraId="465123CD">
      <w:pPr>
        <w:spacing w:line="620" w:lineRule="exact"/>
        <w:jc w:val="center"/>
        <w:rPr>
          <w:rFonts w:ascii="华文中宋" w:hAnsi="华文中宋" w:eastAsia="华文中宋"/>
          <w:b/>
          <w:color w:val="000000" w:themeColor="text1"/>
          <w:sz w:val="44"/>
          <w:szCs w:val="44"/>
          <w14:textFill>
            <w14:solidFill>
              <w14:schemeClr w14:val="tx1"/>
            </w14:solidFill>
          </w14:textFill>
        </w:rPr>
      </w:pPr>
    </w:p>
    <w:p w14:paraId="588F9DD7">
      <w:pPr>
        <w:spacing w:line="620" w:lineRule="exact"/>
        <w:jc w:val="center"/>
        <w:rPr>
          <w:rFonts w:ascii="华文中宋" w:hAnsi="华文中宋" w:eastAsia="华文中宋"/>
          <w:b/>
          <w:color w:val="000000" w:themeColor="text1"/>
          <w:sz w:val="44"/>
          <w:szCs w:val="44"/>
          <w14:textFill>
            <w14:solidFill>
              <w14:schemeClr w14:val="tx1"/>
            </w14:solidFill>
          </w14:textFill>
        </w:rPr>
      </w:pPr>
    </w:p>
    <w:p w14:paraId="14EB5DB7">
      <w:pPr>
        <w:spacing w:line="620" w:lineRule="exact"/>
        <w:jc w:val="center"/>
        <w:rPr>
          <w:rFonts w:ascii="华文中宋" w:hAnsi="华文中宋" w:eastAsia="华文中宋"/>
          <w:b/>
          <w:color w:val="000000" w:themeColor="text1"/>
          <w:sz w:val="44"/>
          <w:szCs w:val="44"/>
          <w14:textFill>
            <w14:solidFill>
              <w14:schemeClr w14:val="tx1"/>
            </w14:solidFill>
          </w14:textFill>
        </w:rPr>
      </w:pPr>
    </w:p>
    <w:p w14:paraId="49B0C4E8">
      <w:pPr>
        <w:spacing w:line="620" w:lineRule="exact"/>
        <w:jc w:val="center"/>
        <w:rPr>
          <w:rFonts w:ascii="华文中宋" w:hAnsi="华文中宋" w:eastAsia="华文中宋"/>
          <w:b/>
          <w:color w:val="000000" w:themeColor="text1"/>
          <w:sz w:val="44"/>
          <w:szCs w:val="44"/>
          <w14:textFill>
            <w14:solidFill>
              <w14:schemeClr w14:val="tx1"/>
            </w14:solidFill>
          </w14:textFill>
        </w:rPr>
      </w:pPr>
    </w:p>
    <w:p w14:paraId="072D6BC6">
      <w:pPr>
        <w:spacing w:line="620" w:lineRule="exact"/>
        <w:jc w:val="center"/>
        <w:rPr>
          <w:rFonts w:ascii="华文中宋" w:hAnsi="华文中宋" w:eastAsia="华文中宋"/>
          <w:b/>
          <w:color w:val="000000" w:themeColor="text1"/>
          <w:sz w:val="44"/>
          <w:szCs w:val="44"/>
          <w14:textFill>
            <w14:solidFill>
              <w14:schemeClr w14:val="tx1"/>
            </w14:solidFill>
          </w14:textFill>
        </w:rPr>
      </w:pPr>
    </w:p>
    <w:p w14:paraId="2EBC8C4E">
      <w:pPr>
        <w:spacing w:line="620" w:lineRule="exact"/>
        <w:jc w:val="center"/>
        <w:rPr>
          <w:rFonts w:ascii="华文中宋" w:hAnsi="华文中宋" w:eastAsia="华文中宋"/>
          <w:b/>
          <w:color w:val="000000" w:themeColor="text1"/>
          <w:sz w:val="44"/>
          <w:szCs w:val="44"/>
          <w14:textFill>
            <w14:solidFill>
              <w14:schemeClr w14:val="tx1"/>
            </w14:solidFill>
          </w14:textFill>
        </w:rPr>
      </w:pPr>
    </w:p>
    <w:p w14:paraId="73C5C8F1">
      <w:pPr>
        <w:spacing w:line="620" w:lineRule="exact"/>
        <w:jc w:val="center"/>
        <w:rPr>
          <w:rFonts w:ascii="华文中宋" w:hAnsi="华文中宋" w:eastAsia="华文中宋"/>
          <w:b/>
          <w:color w:val="000000" w:themeColor="text1"/>
          <w:sz w:val="44"/>
          <w:szCs w:val="44"/>
          <w14:textFill>
            <w14:solidFill>
              <w14:schemeClr w14:val="tx1"/>
            </w14:solidFill>
          </w14:textFill>
        </w:rPr>
      </w:pPr>
    </w:p>
    <w:p w14:paraId="58A7BD91">
      <w:pPr>
        <w:spacing w:line="620" w:lineRule="exact"/>
        <w:jc w:val="center"/>
        <w:rPr>
          <w:rFonts w:ascii="华文中宋" w:hAnsi="华文中宋" w:eastAsia="华文中宋"/>
          <w:b/>
          <w:color w:val="000000" w:themeColor="text1"/>
          <w:sz w:val="44"/>
          <w:szCs w:val="44"/>
          <w14:textFill>
            <w14:solidFill>
              <w14:schemeClr w14:val="tx1"/>
            </w14:solidFill>
          </w14:textFill>
        </w:rPr>
      </w:pPr>
    </w:p>
    <w:p w14:paraId="2559F794">
      <w:pPr>
        <w:spacing w:line="620" w:lineRule="exact"/>
        <w:ind w:firstLine="640"/>
        <w:jc w:val="center"/>
        <w:rPr>
          <w:rFonts w:ascii="仿宋_GB2312" w:hAnsi="Calibri" w:eastAsia="仿宋_GB2312"/>
          <w:color w:val="000000" w:themeColor="text1"/>
          <w:sz w:val="32"/>
          <w:szCs w:val="32"/>
          <w14:textFill>
            <w14:solidFill>
              <w14:schemeClr w14:val="tx1"/>
            </w14:solidFill>
          </w14:textFill>
        </w:rPr>
      </w:pPr>
    </w:p>
    <w:p w14:paraId="23DD0C65">
      <w:pPr>
        <w:spacing w:line="620" w:lineRule="exact"/>
        <w:ind w:firstLine="640"/>
        <w:jc w:val="center"/>
        <w:rPr>
          <w:rFonts w:ascii="仿宋_GB2312" w:hAnsi="Calibri" w:eastAsia="仿宋_GB2312"/>
          <w:color w:val="000000" w:themeColor="text1"/>
          <w:sz w:val="32"/>
          <w:szCs w:val="32"/>
          <w14:textFill>
            <w14:solidFill>
              <w14:schemeClr w14:val="tx1"/>
            </w14:solidFill>
          </w14:textFill>
        </w:rPr>
      </w:pPr>
    </w:p>
    <w:p w14:paraId="7DD1983E">
      <w:pPr>
        <w:spacing w:line="620" w:lineRule="exact"/>
        <w:ind w:firstLine="640"/>
        <w:jc w:val="center"/>
        <w:rPr>
          <w:rFonts w:ascii="仿宋_GB2312" w:hAnsi="Calibri" w:eastAsia="仿宋_GB2312"/>
          <w:color w:val="000000" w:themeColor="text1"/>
          <w:sz w:val="32"/>
          <w:szCs w:val="32"/>
          <w14:textFill>
            <w14:solidFill>
              <w14:schemeClr w14:val="tx1"/>
            </w14:solidFill>
          </w14:textFill>
        </w:rPr>
      </w:pPr>
    </w:p>
    <w:p w14:paraId="6D6CE3F2">
      <w:pPr>
        <w:spacing w:line="620" w:lineRule="exact"/>
        <w:ind w:firstLine="640"/>
        <w:jc w:val="center"/>
        <w:rPr>
          <w:rFonts w:ascii="仿宋_GB2312" w:hAnsi="Calibri" w:eastAsia="仿宋_GB2312"/>
          <w:color w:val="000000" w:themeColor="text1"/>
          <w:sz w:val="32"/>
          <w:szCs w:val="32"/>
          <w14:textFill>
            <w14:solidFill>
              <w14:schemeClr w14:val="tx1"/>
            </w14:solidFill>
          </w14:textFill>
        </w:rPr>
      </w:pPr>
    </w:p>
    <w:p w14:paraId="6E7F927A">
      <w:pPr>
        <w:spacing w:line="620" w:lineRule="exact"/>
        <w:rPr>
          <w:rFonts w:ascii="仿宋_GB2312" w:hAnsi="Calibri" w:eastAsia="仿宋_GB2312"/>
          <w:color w:val="000000" w:themeColor="text1"/>
          <w:sz w:val="32"/>
          <w:szCs w:val="32"/>
          <w14:textFill>
            <w14:solidFill>
              <w14:schemeClr w14:val="tx1"/>
            </w14:solidFill>
          </w14:textFill>
        </w:rPr>
      </w:pPr>
    </w:p>
    <w:p w14:paraId="493F3BEF">
      <w:pPr>
        <w:spacing w:line="620" w:lineRule="exact"/>
        <w:ind w:firstLine="3206" w:firstLineChars="1002"/>
        <w:jc w:val="both"/>
        <w:rPr>
          <w:rFonts w:ascii="仿宋_GB2312" w:hAnsi="Calibri" w:eastAsia="仿宋_GB2312"/>
          <w:color w:val="000000" w:themeColor="text1"/>
          <w:sz w:val="32"/>
          <w:szCs w:val="32"/>
          <w14:textFill>
            <w14:solidFill>
              <w14:schemeClr w14:val="tx1"/>
            </w14:solidFill>
          </w14:textFill>
        </w:rPr>
      </w:pPr>
      <w:r>
        <w:rPr>
          <w:rFonts w:hint="eastAsia" w:ascii="仿宋_GB2312" w:hAnsi="Calibri" w:eastAsia="仿宋_GB2312"/>
          <w:color w:val="000000" w:themeColor="text1"/>
          <w:sz w:val="32"/>
          <w:szCs w:val="32"/>
          <w14:textFill>
            <w14:solidFill>
              <w14:schemeClr w14:val="tx1"/>
            </w14:solidFill>
          </w14:textFill>
        </w:rPr>
        <w:t>北京市大兴区商务局</w:t>
      </w:r>
    </w:p>
    <w:p w14:paraId="58DBF3CD">
      <w:pPr>
        <w:spacing w:line="620" w:lineRule="exact"/>
        <w:ind w:firstLine="3840" w:firstLineChars="1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202</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val="en-US" w:eastAsia="zh-CN"/>
          <w14:textFill>
            <w14:solidFill>
              <w14:schemeClr w14:val="tx1"/>
            </w14:solidFill>
          </w14:textFill>
        </w:rPr>
        <w:t>8</w:t>
      </w:r>
      <w:r>
        <w:rPr>
          <w:rFonts w:hint="eastAsia" w:ascii="仿宋_GB2312" w:eastAsia="仿宋_GB2312"/>
          <w:color w:val="000000" w:themeColor="text1"/>
          <w:sz w:val="32"/>
          <w:szCs w:val="32"/>
          <w14:textFill>
            <w14:solidFill>
              <w14:schemeClr w14:val="tx1"/>
            </w14:solidFill>
          </w14:textFill>
        </w:rPr>
        <w:t>月</w:t>
      </w:r>
    </w:p>
    <w:p w14:paraId="3DF7E9F6">
      <w:pPr>
        <w:spacing w:line="620" w:lineRule="exact"/>
        <w:rPr>
          <w:rFonts w:ascii="仿宋_GB2312" w:eastAsia="仿宋_GB2312"/>
          <w:color w:val="000000" w:themeColor="text1"/>
          <w:sz w:val="32"/>
          <w:szCs w:val="32"/>
          <w14:textFill>
            <w14:solidFill>
              <w14:schemeClr w14:val="tx1"/>
            </w14:solidFill>
          </w14:textFill>
        </w:rPr>
      </w:pPr>
    </w:p>
    <w:p w14:paraId="351484EC">
      <w:pPr>
        <w:spacing w:line="620" w:lineRule="exact"/>
        <w:rPr>
          <w:rFonts w:ascii="华文中宋" w:hAnsi="华文中宋" w:eastAsia="华文中宋"/>
          <w:b/>
          <w:color w:val="000000" w:themeColor="text1"/>
          <w:sz w:val="44"/>
          <w:szCs w:val="44"/>
          <w14:textFill>
            <w14:solidFill>
              <w14:schemeClr w14:val="tx1"/>
            </w14:solidFill>
          </w14:textFill>
        </w:rPr>
      </w:pPr>
    </w:p>
    <w:p w14:paraId="24B4EE83">
      <w:pPr>
        <w:spacing w:line="620" w:lineRule="exact"/>
        <w:jc w:val="center"/>
        <w:rPr>
          <w:rFonts w:ascii="华文中宋" w:hAnsi="华文中宋" w:eastAsia="华文中宋"/>
          <w:b/>
          <w:color w:val="000000" w:themeColor="text1"/>
          <w:sz w:val="44"/>
          <w:szCs w:val="44"/>
          <w14:textFill>
            <w14:solidFill>
              <w14:schemeClr w14:val="tx1"/>
            </w14:solidFill>
          </w14:textFill>
        </w:rPr>
        <w:sectPr>
          <w:footerReference r:id="rId3" w:type="even"/>
          <w:pgSz w:w="11906" w:h="16838"/>
          <w:pgMar w:top="1440" w:right="1474" w:bottom="1440" w:left="1474" w:header="851" w:footer="992" w:gutter="0"/>
          <w:pgNumType w:start="1"/>
          <w:cols w:space="720" w:num="1"/>
          <w:docGrid w:type="lines" w:linePitch="312" w:charSpace="0"/>
        </w:sectPr>
      </w:pPr>
    </w:p>
    <w:p w14:paraId="6A451C73">
      <w:pPr>
        <w:spacing w:beforeLines="150" w:line="560" w:lineRule="exact"/>
        <w:jc w:val="center"/>
        <w:rPr>
          <w:rFonts w:hint="eastAsia" w:ascii="方正小标宋简体" w:hAnsi="方正小标宋简体" w:eastAsia="方正小标宋简体" w:cs="方正小标宋简体"/>
          <w:color w:val="000000" w:themeColor="text1"/>
          <w:sz w:val="40"/>
          <w:szCs w:val="40"/>
          <w14:textFill>
            <w14:solidFill>
              <w14:schemeClr w14:val="tx1"/>
            </w14:solidFill>
          </w14:textFill>
        </w:rPr>
      </w:pPr>
      <w:r>
        <w:rPr>
          <w:rFonts w:hint="eastAsia" w:ascii="方正小标宋简体" w:hAnsi="方正小标宋简体" w:eastAsia="方正小标宋简体" w:cs="方正小标宋简体"/>
          <w:color w:val="000000" w:themeColor="text1"/>
          <w:sz w:val="40"/>
          <w:szCs w:val="40"/>
          <w14:textFill>
            <w14:solidFill>
              <w14:schemeClr w14:val="tx1"/>
            </w14:solidFill>
          </w14:textFill>
        </w:rPr>
        <w:t>北京市大兴区商务局</w:t>
      </w:r>
    </w:p>
    <w:p w14:paraId="18D6A83E">
      <w:pPr>
        <w:spacing w:beforeLines="150" w:line="560" w:lineRule="exact"/>
        <w:jc w:val="center"/>
        <w:rPr>
          <w:rFonts w:hint="eastAsia" w:ascii="方正小标宋简体" w:hAnsi="方正小标宋简体" w:eastAsia="方正小标宋简体" w:cs="方正小标宋简体"/>
          <w:color w:val="000000" w:themeColor="text1"/>
          <w:spacing w:val="-17"/>
          <w:sz w:val="40"/>
          <w:szCs w:val="48"/>
          <w14:textFill>
            <w14:solidFill>
              <w14:schemeClr w14:val="tx1"/>
            </w14:solidFill>
          </w14:textFill>
        </w:rPr>
      </w:pPr>
      <w:r>
        <w:rPr>
          <w:rFonts w:hint="eastAsia" w:ascii="方正小标宋简体" w:hAnsi="方正小标宋简体" w:eastAsia="方正小标宋简体" w:cs="方正小标宋简体"/>
          <w:color w:val="000000" w:themeColor="text1"/>
          <w:spacing w:val="-17"/>
          <w:sz w:val="40"/>
          <w:szCs w:val="48"/>
          <w14:textFill>
            <w14:solidFill>
              <w14:schemeClr w14:val="tx1"/>
            </w14:solidFill>
          </w14:textFill>
        </w:rPr>
        <w:t>202</w:t>
      </w:r>
      <w:r>
        <w:rPr>
          <w:rFonts w:hint="eastAsia" w:ascii="方正小标宋简体" w:hAnsi="方正小标宋简体" w:eastAsia="方正小标宋简体" w:cs="方正小标宋简体"/>
          <w:color w:val="000000" w:themeColor="text1"/>
          <w:spacing w:val="-17"/>
          <w:sz w:val="40"/>
          <w:szCs w:val="48"/>
          <w:lang w:val="en-US" w:eastAsia="zh-CN"/>
          <w14:textFill>
            <w14:solidFill>
              <w14:schemeClr w14:val="tx1"/>
            </w14:solidFill>
          </w14:textFill>
        </w:rPr>
        <w:t>4</w:t>
      </w:r>
      <w:r>
        <w:rPr>
          <w:rFonts w:hint="eastAsia" w:ascii="方正小标宋简体" w:hAnsi="方正小标宋简体" w:eastAsia="方正小标宋简体" w:cs="方正小标宋简体"/>
          <w:color w:val="000000" w:themeColor="text1"/>
          <w:spacing w:val="-17"/>
          <w:sz w:val="40"/>
          <w:szCs w:val="48"/>
          <w14:textFill>
            <w14:solidFill>
              <w14:schemeClr w14:val="tx1"/>
            </w14:solidFill>
          </w14:textFill>
        </w:rPr>
        <w:t>年新建和规范提升生活性服务业网点</w:t>
      </w:r>
    </w:p>
    <w:p w14:paraId="1FD0296F">
      <w:pPr>
        <w:spacing w:beforeLines="150" w:line="560" w:lineRule="exact"/>
        <w:jc w:val="center"/>
        <w:rPr>
          <w:rFonts w:ascii="方正小标宋简体" w:hAnsi="方正小标宋简体" w:eastAsia="方正小标宋简体" w:cs="方正小标宋简体"/>
          <w:color w:val="000000" w:themeColor="text1"/>
          <w:spacing w:val="-17"/>
          <w:sz w:val="40"/>
          <w:szCs w:val="48"/>
          <w14:textFill>
            <w14:solidFill>
              <w14:schemeClr w14:val="tx1"/>
            </w14:solidFill>
          </w14:textFill>
        </w:rPr>
      </w:pPr>
      <w:r>
        <w:rPr>
          <w:rFonts w:hint="eastAsia" w:ascii="方正小标宋简体" w:hAnsi="方正小标宋简体" w:eastAsia="方正小标宋简体" w:cs="方正小标宋简体"/>
          <w:color w:val="000000" w:themeColor="text1"/>
          <w:spacing w:val="-17"/>
          <w:sz w:val="40"/>
          <w:szCs w:val="48"/>
          <w14:textFill>
            <w14:solidFill>
              <w14:schemeClr w14:val="tx1"/>
            </w14:solidFill>
          </w14:textFill>
        </w:rPr>
        <w:t>项目申报指南</w:t>
      </w:r>
    </w:p>
    <w:p w14:paraId="234AC0A8">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14:paraId="0C72F8B4">
      <w:pPr>
        <w:pStyle w:val="5"/>
        <w:keepNext w:val="0"/>
        <w:keepLines w:val="0"/>
        <w:pageBreakBefore w:val="0"/>
        <w:widowControl/>
        <w:shd w:val="clear" w:color="auto" w:fill="FFFFFF"/>
        <w:kinsoku/>
        <w:overflowPunct/>
        <w:topLinePunct w:val="0"/>
        <w:autoSpaceDE/>
        <w:autoSpaceDN/>
        <w:bidi w:val="0"/>
        <w:adjustRightInd/>
        <w:snapToGrid/>
        <w:spacing w:beforeAutospacing="0" w:afterAutospacing="0" w:line="560" w:lineRule="exact"/>
        <w:ind w:firstLine="640" w:firstLineChars="200"/>
        <w:jc w:val="both"/>
        <w:rPr>
          <w:rFonts w:ascii="仿宋_GB2312" w:hAnsi="仿宋_GB2312" w:eastAsia="仿宋_GB2312" w:cs="仿宋_GB2312"/>
          <w:b w:val="0"/>
          <w:color w:val="auto"/>
          <w:kern w:val="2"/>
          <w:sz w:val="32"/>
          <w:szCs w:val="32"/>
        </w:rPr>
      </w:pPr>
      <w:r>
        <w:rPr>
          <w:rFonts w:ascii="仿宋_GB2312" w:hAnsi="仿宋_GB2312" w:eastAsia="仿宋_GB2312" w:cs="仿宋_GB2312"/>
          <w:b w:val="0"/>
          <w:color w:val="000000" w:themeColor="text1"/>
          <w:kern w:val="2"/>
          <w:sz w:val="32"/>
          <w:szCs w:val="32"/>
          <w14:textFill>
            <w14:solidFill>
              <w14:schemeClr w14:val="tx1"/>
            </w14:solidFill>
          </w14:textFill>
        </w:rPr>
        <w:t>为</w:t>
      </w:r>
      <w:r>
        <w:rPr>
          <w:rFonts w:ascii="仿宋_GB2312" w:hAnsi="仿宋_GB2312" w:eastAsia="仿宋_GB2312" w:cs="仿宋_GB2312"/>
          <w:b w:val="0"/>
          <w:color w:val="auto"/>
          <w:kern w:val="2"/>
          <w:sz w:val="32"/>
          <w:szCs w:val="32"/>
        </w:rPr>
        <w:t>贯彻落实</w:t>
      </w:r>
      <w:r>
        <w:rPr>
          <w:rFonts w:hint="default" w:ascii="仿宋_GB2312" w:hAnsi="仿宋_GB2312" w:eastAsia="仿宋_GB2312" w:cs="仿宋_GB2312"/>
          <w:b w:val="0"/>
          <w:color w:val="auto"/>
          <w:kern w:val="2"/>
          <w:sz w:val="32"/>
          <w:szCs w:val="32"/>
        </w:rPr>
        <w:t>《加快建设一刻钟便民生活圈促进生活服务业转型升级的若干措施》</w:t>
      </w:r>
      <w:r>
        <w:rPr>
          <w:rFonts w:ascii="仿宋_GB2312" w:hAnsi="仿宋_GB2312" w:eastAsia="仿宋_GB2312" w:cs="仿宋_GB2312"/>
          <w:b w:val="0"/>
          <w:color w:val="auto"/>
          <w:kern w:val="2"/>
          <w:sz w:val="32"/>
          <w:szCs w:val="32"/>
        </w:rPr>
        <w:t>要求,促进大兴区生活性服务业转型升级发展，把握生活服务业的商业性和普惠性双重属性，助力北京国际消费中心城市和国际一流的和谐宜居之都建设,不断满足百姓日益增长的美好生活需要，特制定本文件</w:t>
      </w:r>
      <w:r>
        <w:rPr>
          <w:rFonts w:hint="eastAsia" w:ascii="仿宋_GB2312" w:hAnsi="仿宋_GB2312" w:eastAsia="仿宋_GB2312" w:cs="仿宋_GB2312"/>
          <w:b w:val="0"/>
          <w:color w:val="auto"/>
          <w:kern w:val="2"/>
          <w:sz w:val="32"/>
          <w:szCs w:val="32"/>
          <w:lang w:val="en-US" w:eastAsia="zh-CN"/>
        </w:rPr>
        <w:t>(征求意见稿）</w:t>
      </w:r>
      <w:r>
        <w:rPr>
          <w:rFonts w:ascii="仿宋_GB2312" w:hAnsi="仿宋_GB2312" w:eastAsia="仿宋_GB2312" w:cs="仿宋_GB2312"/>
          <w:b w:val="0"/>
          <w:color w:val="auto"/>
          <w:kern w:val="2"/>
          <w:sz w:val="32"/>
          <w:szCs w:val="32"/>
        </w:rPr>
        <w:t>。</w:t>
      </w:r>
    </w:p>
    <w:p w14:paraId="3897B739">
      <w:pPr>
        <w:pStyle w:val="5"/>
        <w:widowControl/>
        <w:shd w:val="clear" w:color="auto" w:fill="FFFFFF"/>
        <w:spacing w:line="560" w:lineRule="exact"/>
        <w:ind w:firstLine="640" w:firstLineChars="200"/>
        <w:rPr>
          <w:rFonts w:hint="default" w:ascii="仿宋_GB2312" w:hAnsi="仿宋_GB2312" w:eastAsia="仿宋_GB2312" w:cs="仿宋_GB2312"/>
          <w:b w:val="0"/>
          <w:color w:val="auto"/>
          <w:kern w:val="2"/>
          <w:sz w:val="32"/>
          <w:szCs w:val="32"/>
          <w:highlight w:val="none"/>
          <w:lang w:val="en-US" w:eastAsia="zh-CN"/>
        </w:rPr>
      </w:pPr>
      <w:r>
        <w:rPr>
          <w:rFonts w:ascii="仿宋_GB2312" w:hAnsi="仿宋_GB2312" w:eastAsia="仿宋_GB2312" w:cs="仿宋_GB2312"/>
          <w:b w:val="0"/>
          <w:i w:val="0"/>
          <w:iCs w:val="0"/>
          <w:caps w:val="0"/>
          <w:color w:val="auto"/>
          <w:spacing w:val="0"/>
          <w:kern w:val="2"/>
          <w:sz w:val="32"/>
          <w:szCs w:val="32"/>
          <w:highlight w:val="none"/>
          <w:shd w:val="clear" w:fill="FFFFFF"/>
        </w:rPr>
        <w:t>本</w:t>
      </w:r>
      <w:r>
        <w:rPr>
          <w:rFonts w:hint="eastAsia" w:ascii="仿宋_GB2312" w:hAnsi="仿宋_GB2312" w:eastAsia="仿宋_GB2312" w:cs="仿宋_GB2312"/>
          <w:b w:val="0"/>
          <w:i w:val="0"/>
          <w:iCs w:val="0"/>
          <w:caps w:val="0"/>
          <w:color w:val="auto"/>
          <w:spacing w:val="0"/>
          <w:kern w:val="2"/>
          <w:sz w:val="32"/>
          <w:szCs w:val="32"/>
          <w:highlight w:val="none"/>
          <w:shd w:val="clear"/>
          <w:lang w:val="en-US" w:eastAsia="zh-CN"/>
        </w:rPr>
        <w:t>指南</w:t>
      </w:r>
      <w:r>
        <w:rPr>
          <w:rFonts w:ascii="仿宋_GB2312" w:hAnsi="仿宋_GB2312" w:eastAsia="仿宋_GB2312" w:cs="仿宋_GB2312"/>
          <w:b w:val="0"/>
          <w:i w:val="0"/>
          <w:iCs w:val="0"/>
          <w:caps w:val="0"/>
          <w:color w:val="auto"/>
          <w:spacing w:val="0"/>
          <w:kern w:val="2"/>
          <w:sz w:val="32"/>
          <w:szCs w:val="32"/>
          <w:highlight w:val="none"/>
          <w:shd w:val="clear" w:fill="FFFFFF"/>
        </w:rPr>
        <w:t>以</w:t>
      </w:r>
      <w:r>
        <w:rPr>
          <w:rFonts w:ascii="仿宋_GB2312" w:hAnsi="仿宋_GB2312" w:eastAsia="仿宋_GB2312" w:cs="仿宋_GB2312"/>
          <w:b w:val="0"/>
          <w:i w:val="0"/>
          <w:iCs w:val="0"/>
          <w:caps w:val="0"/>
          <w:color w:val="auto"/>
          <w:spacing w:val="0"/>
          <w:kern w:val="2"/>
          <w:sz w:val="32"/>
          <w:szCs w:val="32"/>
          <w:highlight w:val="none"/>
          <w:shd w:val="clear"/>
        </w:rPr>
        <w:t>“</w:t>
      </w:r>
      <w:r>
        <w:rPr>
          <w:rFonts w:ascii="仿宋_GB2312" w:hAnsi="仿宋_GB2312" w:eastAsia="仿宋_GB2312" w:cs="仿宋_GB2312"/>
          <w:b w:val="0"/>
          <w:i w:val="0"/>
          <w:iCs w:val="0"/>
          <w:caps w:val="0"/>
          <w:color w:val="auto"/>
          <w:spacing w:val="0"/>
          <w:kern w:val="2"/>
          <w:sz w:val="32"/>
          <w:szCs w:val="32"/>
          <w:highlight w:val="none"/>
          <w:shd w:val="clear" w:fill="FFFFFF"/>
        </w:rPr>
        <w:t>补短板强弱项</w:t>
      </w:r>
      <w:r>
        <w:rPr>
          <w:rFonts w:hint="eastAsia" w:ascii="仿宋_GB2312" w:hAnsi="仿宋_GB2312" w:eastAsia="仿宋_GB2312" w:cs="仿宋_GB2312"/>
          <w:b w:val="0"/>
          <w:i w:val="0"/>
          <w:iCs w:val="0"/>
          <w:caps w:val="0"/>
          <w:color w:val="auto"/>
          <w:spacing w:val="0"/>
          <w:kern w:val="2"/>
          <w:sz w:val="32"/>
          <w:szCs w:val="32"/>
          <w:highlight w:val="none"/>
          <w:shd w:val="clear"/>
          <w:lang w:eastAsia="zh-CN"/>
        </w:rPr>
        <w:t>”</w:t>
      </w:r>
      <w:r>
        <w:rPr>
          <w:rFonts w:ascii="仿宋_GB2312" w:hAnsi="仿宋_GB2312" w:eastAsia="仿宋_GB2312" w:cs="仿宋_GB2312"/>
          <w:b w:val="0"/>
          <w:i w:val="0"/>
          <w:iCs w:val="0"/>
          <w:caps w:val="0"/>
          <w:color w:val="auto"/>
          <w:spacing w:val="0"/>
          <w:kern w:val="2"/>
          <w:sz w:val="32"/>
          <w:szCs w:val="32"/>
          <w:highlight w:val="none"/>
          <w:shd w:val="clear" w:fill="FFFFFF"/>
        </w:rPr>
        <w:t>为首要导向，结合</w:t>
      </w:r>
      <w:r>
        <w:rPr>
          <w:rStyle w:val="12"/>
          <w:rFonts w:hint="eastAsia" w:ascii="仿宋_GB2312" w:hAnsi="仿宋_GB2312" w:eastAsia="仿宋_GB2312" w:cs="仿宋_GB2312"/>
          <w:b w:val="0"/>
          <w:bCs w:val="0"/>
          <w:i w:val="0"/>
          <w:iCs w:val="0"/>
          <w:caps w:val="0"/>
          <w:color w:val="auto"/>
          <w:spacing w:val="0"/>
          <w:kern w:val="2"/>
          <w:sz w:val="32"/>
          <w:szCs w:val="32"/>
          <w:highlight w:val="none"/>
          <w:shd w:val="clear"/>
        </w:rPr>
        <w:t>国家及市级战略落地需求</w:t>
      </w:r>
      <w:r>
        <w:rPr>
          <w:rFonts w:hint="eastAsia" w:ascii="仿宋_GB2312" w:hAnsi="仿宋_GB2312" w:eastAsia="仿宋_GB2312" w:cs="仿宋_GB2312"/>
          <w:b w:val="0"/>
          <w:i w:val="0"/>
          <w:iCs w:val="0"/>
          <w:caps w:val="0"/>
          <w:color w:val="auto"/>
          <w:spacing w:val="0"/>
          <w:kern w:val="2"/>
          <w:sz w:val="32"/>
          <w:szCs w:val="32"/>
          <w:highlight w:val="none"/>
          <w:shd w:val="clear" w:fill="FFFFFF"/>
        </w:rPr>
        <w:t>、</w:t>
      </w:r>
      <w:r>
        <w:rPr>
          <w:rStyle w:val="12"/>
          <w:rFonts w:hint="eastAsia" w:ascii="仿宋_GB2312" w:hAnsi="仿宋_GB2312" w:eastAsia="仿宋_GB2312" w:cs="仿宋_GB2312"/>
          <w:b w:val="0"/>
          <w:bCs w:val="0"/>
          <w:i w:val="0"/>
          <w:iCs w:val="0"/>
          <w:caps w:val="0"/>
          <w:color w:val="auto"/>
          <w:spacing w:val="0"/>
          <w:kern w:val="2"/>
          <w:sz w:val="32"/>
          <w:szCs w:val="32"/>
          <w:highlight w:val="none"/>
          <w:shd w:val="clear"/>
        </w:rPr>
        <w:t>区域发展阶段特征</w:t>
      </w:r>
      <w:r>
        <w:rPr>
          <w:rFonts w:hint="eastAsia" w:ascii="仿宋_GB2312" w:hAnsi="仿宋_GB2312" w:eastAsia="仿宋_GB2312" w:cs="仿宋_GB2312"/>
          <w:b w:val="0"/>
          <w:i w:val="0"/>
          <w:iCs w:val="0"/>
          <w:caps w:val="0"/>
          <w:color w:val="auto"/>
          <w:spacing w:val="0"/>
          <w:kern w:val="2"/>
          <w:sz w:val="32"/>
          <w:szCs w:val="32"/>
          <w:highlight w:val="none"/>
          <w:shd w:val="clear" w:fill="FFFFFF"/>
        </w:rPr>
        <w:t>和</w:t>
      </w:r>
      <w:r>
        <w:rPr>
          <w:rStyle w:val="12"/>
          <w:rFonts w:hint="eastAsia" w:ascii="仿宋_GB2312" w:hAnsi="仿宋_GB2312" w:eastAsia="仿宋_GB2312" w:cs="仿宋_GB2312"/>
          <w:b w:val="0"/>
          <w:bCs w:val="0"/>
          <w:i w:val="0"/>
          <w:iCs w:val="0"/>
          <w:caps w:val="0"/>
          <w:color w:val="auto"/>
          <w:spacing w:val="0"/>
          <w:kern w:val="2"/>
          <w:sz w:val="32"/>
          <w:szCs w:val="32"/>
          <w:highlight w:val="none"/>
          <w:shd w:val="clear"/>
        </w:rPr>
        <w:t>公共服务缺口程度</w:t>
      </w:r>
      <w:r>
        <w:rPr>
          <w:rFonts w:hint="eastAsia" w:ascii="仿宋_GB2312" w:hAnsi="仿宋_GB2312" w:eastAsia="仿宋_GB2312" w:cs="仿宋_GB2312"/>
          <w:b w:val="0"/>
          <w:i w:val="0"/>
          <w:iCs w:val="0"/>
          <w:caps w:val="0"/>
          <w:color w:val="auto"/>
          <w:spacing w:val="0"/>
          <w:kern w:val="2"/>
          <w:sz w:val="32"/>
          <w:szCs w:val="32"/>
          <w:highlight w:val="none"/>
          <w:shd w:val="clear" w:fill="FFFFFF"/>
        </w:rPr>
        <w:t>，</w:t>
      </w:r>
      <w:r>
        <w:rPr>
          <w:rFonts w:hint="eastAsia" w:ascii="仿宋_GB2312" w:hAnsi="仿宋_GB2312" w:eastAsia="仿宋_GB2312" w:cs="仿宋_GB2312"/>
          <w:b w:val="0"/>
          <w:i w:val="0"/>
          <w:iCs w:val="0"/>
          <w:caps w:val="0"/>
          <w:color w:val="auto"/>
          <w:spacing w:val="0"/>
          <w:kern w:val="2"/>
          <w:sz w:val="32"/>
          <w:szCs w:val="32"/>
          <w:highlight w:val="none"/>
          <w:shd w:val="clear"/>
          <w:lang w:val="en-US" w:eastAsia="zh-CN"/>
        </w:rPr>
        <w:t>优先支持涉农区域，重点保障农村地区，统筹推进街镇建成区</w:t>
      </w:r>
      <w:r>
        <w:rPr>
          <w:rFonts w:hint="eastAsia" w:ascii="仿宋_GB2312" w:hAnsi="仿宋_GB2312" w:eastAsia="仿宋_GB2312" w:cs="仿宋_GB2312"/>
          <w:b w:val="0"/>
          <w:i w:val="0"/>
          <w:iCs w:val="0"/>
          <w:caps w:val="0"/>
          <w:color w:val="auto"/>
          <w:spacing w:val="0"/>
          <w:kern w:val="2"/>
          <w:sz w:val="32"/>
          <w:szCs w:val="32"/>
          <w:highlight w:val="none"/>
          <w:shd w:val="clear" w:fill="FFFFFF"/>
        </w:rPr>
        <w:t>，并根据年度重点工作动态调整。</w:t>
      </w:r>
    </w:p>
    <w:p w14:paraId="5EA2E8F9">
      <w:pPr>
        <w:keepNext w:val="0"/>
        <w:keepLines w:val="0"/>
        <w:pageBreakBefore w:val="0"/>
        <w:kinsoku/>
        <w:overflowPunct/>
        <w:topLinePunct w:val="0"/>
        <w:autoSpaceDE/>
        <w:autoSpaceDN/>
        <w:bidi w:val="0"/>
        <w:adjustRightInd/>
        <w:snapToGrid/>
        <w:spacing w:line="560" w:lineRule="exact"/>
        <w:ind w:firstLine="640" w:firstLineChars="200"/>
        <w:rPr>
          <w:rFonts w:ascii="仿宋_GB2312" w:hAnsi="仿宋_GB2312" w:eastAsia="仿宋_GB2312" w:cs="仿宋_GB2312"/>
          <w:color w:val="auto"/>
          <w:sz w:val="32"/>
          <w:szCs w:val="32"/>
          <w:highlight w:val="none"/>
        </w:rPr>
      </w:pPr>
    </w:p>
    <w:p w14:paraId="0B051D72">
      <w:pPr>
        <w:keepNext w:val="0"/>
        <w:keepLines w:val="0"/>
        <w:pageBreakBefore w:val="0"/>
        <w:kinsoku/>
        <w:overflowPunct/>
        <w:topLinePunct w:val="0"/>
        <w:autoSpaceDE/>
        <w:autoSpaceDN/>
        <w:bidi w:val="0"/>
        <w:adjustRightInd/>
        <w:snapToGrid/>
        <w:spacing w:line="560" w:lineRule="exact"/>
        <w:jc w:val="center"/>
        <w:textAlignment w:val="baseline"/>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第一章  新建和规范提升社区菜店</w:t>
      </w:r>
    </w:p>
    <w:p w14:paraId="32BF8557">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黑体" w:hAnsi="黑体" w:eastAsia="黑体" w:cs="黑体"/>
          <w:color w:val="auto"/>
          <w:sz w:val="32"/>
          <w:szCs w:val="32"/>
        </w:rPr>
      </w:pPr>
      <w:r>
        <w:rPr>
          <w:rFonts w:hint="eastAsia" w:ascii="黑体" w:hAnsi="黑体" w:eastAsia="黑体" w:cs="黑体"/>
          <w:color w:val="auto"/>
          <w:sz w:val="32"/>
          <w:szCs w:val="32"/>
        </w:rPr>
        <w:t>一、支持内容</w:t>
      </w:r>
    </w:p>
    <w:p w14:paraId="57BEB6DF">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（一）新建社区菜店</w:t>
      </w:r>
    </w:p>
    <w:p w14:paraId="767682F8">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年1月1日以来新建的固定连锁社区菜店（不含厢式、柜式售菜网点），在网点店面装修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硬软件设备购置等方面的支出，可</w:t>
      </w:r>
      <w:r>
        <w:rPr>
          <w:rFonts w:hint="eastAsia" w:ascii="仿宋_GB2312" w:hAnsi="仿宋_GB2312" w:eastAsia="仿宋_GB2312" w:cs="仿宋_GB2312"/>
          <w:color w:val="auto"/>
          <w:sz w:val="32"/>
          <w:szCs w:val="32"/>
          <w:highlight w:val="none"/>
          <w:lang w:val="en-US" w:eastAsia="zh-CN"/>
        </w:rPr>
        <w:t>按照</w:t>
      </w:r>
      <w:r>
        <w:rPr>
          <w:rFonts w:hint="eastAsia" w:ascii="仿宋_GB2312" w:hAnsi="仿宋_GB2312" w:eastAsia="仿宋_GB2312" w:cs="仿宋_GB2312"/>
          <w:color w:val="auto"/>
          <w:sz w:val="32"/>
          <w:szCs w:val="32"/>
          <w:highlight w:val="none"/>
        </w:rPr>
        <w:t>不超过审定投资额的50%给予支持，且不超过最高补贴额上限。</w:t>
      </w:r>
    </w:p>
    <w:p w14:paraId="5D1B4E54">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（二）规范提升社区菜店</w:t>
      </w:r>
    </w:p>
    <w:p w14:paraId="35A4B984">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年1月1日以来规范提升的固定连锁社区菜店（不含厢式、柜式售菜网点），在网点店面装修、硬软件设备购置等方面的支出，可</w:t>
      </w:r>
      <w:r>
        <w:rPr>
          <w:rFonts w:hint="eastAsia" w:ascii="仿宋_GB2312" w:hAnsi="仿宋_GB2312" w:eastAsia="仿宋_GB2312" w:cs="仿宋_GB2312"/>
          <w:color w:val="auto"/>
          <w:sz w:val="32"/>
          <w:szCs w:val="32"/>
          <w:highlight w:val="none"/>
          <w:lang w:val="en-US" w:eastAsia="zh-CN"/>
        </w:rPr>
        <w:t>按照</w:t>
      </w:r>
      <w:r>
        <w:rPr>
          <w:rFonts w:hint="eastAsia" w:ascii="仿宋_GB2312" w:hAnsi="仿宋_GB2312" w:eastAsia="仿宋_GB2312" w:cs="仿宋_GB2312"/>
          <w:color w:val="auto"/>
          <w:sz w:val="32"/>
          <w:szCs w:val="32"/>
          <w:highlight w:val="none"/>
        </w:rPr>
        <w:t>不超过审定投资额的50%给予支持，且不超过最高补贴额上限。</w:t>
      </w:r>
    </w:p>
    <w:p w14:paraId="1E972424">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二、支持条件</w:t>
      </w:r>
    </w:p>
    <w:p w14:paraId="0CB291B2">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（一）申报主体需为在</w:t>
      </w:r>
      <w:r>
        <w:rPr>
          <w:rFonts w:hint="eastAsia" w:ascii="仿宋_GB2312" w:hAnsi="仿宋_GB2312" w:eastAsia="仿宋_GB2312" w:cs="仿宋_GB2312"/>
          <w:color w:val="auto"/>
          <w:sz w:val="32"/>
          <w:szCs w:val="32"/>
          <w:highlight w:val="none"/>
          <w:lang w:val="en-US" w:eastAsia="zh-CN"/>
        </w:rPr>
        <w:t>大兴区内合法经营</w:t>
      </w:r>
      <w:r>
        <w:rPr>
          <w:rFonts w:hint="eastAsia" w:ascii="仿宋_GB2312" w:hAnsi="仿宋_GB2312" w:eastAsia="仿宋_GB2312" w:cs="仿宋_GB2312"/>
          <w:color w:val="auto"/>
          <w:sz w:val="32"/>
          <w:szCs w:val="32"/>
          <w:highlight w:val="none"/>
        </w:rPr>
        <w:t>的具有农产品经营资格的连锁企业，证照齐全，</w:t>
      </w:r>
      <w:r>
        <w:rPr>
          <w:rFonts w:hint="eastAsia" w:ascii="仿宋_GB2312" w:eastAsia="仿宋_GB2312"/>
          <w:color w:val="auto"/>
          <w:sz w:val="32"/>
          <w:szCs w:val="32"/>
          <w:highlight w:val="none"/>
        </w:rPr>
        <w:t>企业资信状况良好，近一年无不良行为记录，能较好地履行企业社会责任</w:t>
      </w:r>
      <w:r>
        <w:rPr>
          <w:rFonts w:hint="eastAsia" w:ascii="仿宋_GB2312" w:hAnsi="仿宋_GB2312" w:eastAsia="仿宋_GB2312" w:cs="仿宋_GB2312"/>
          <w:color w:val="auto"/>
          <w:sz w:val="32"/>
          <w:szCs w:val="32"/>
          <w:highlight w:val="none"/>
        </w:rPr>
        <w:t>。</w:t>
      </w:r>
    </w:p>
    <w:p w14:paraId="3CC72CCF">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（二）项目申报单位资金支付及发票开具时间在2024年1月1日（含）之后。审定实际投资额不低于审定计划投资总额（符合支持方向的合同投资总额）的70%</w:t>
      </w:r>
      <w:r>
        <w:rPr>
          <w:rFonts w:hint="eastAsia" w:ascii="仿宋_GB2312" w:hAnsi="仿宋_GB2312" w:eastAsia="仿宋_GB2312" w:cs="仿宋_GB2312"/>
          <w:color w:val="auto"/>
          <w:sz w:val="32"/>
          <w:szCs w:val="32"/>
          <w:highlight w:val="none"/>
          <w:lang w:val="en-US" w:eastAsia="zh-CN"/>
        </w:rPr>
        <w:t>且超过5万元</w:t>
      </w:r>
      <w:r>
        <w:rPr>
          <w:rFonts w:hint="eastAsia" w:ascii="仿宋_GB2312" w:hAnsi="仿宋_GB2312" w:eastAsia="仿宋_GB2312" w:cs="仿宋_GB2312"/>
          <w:color w:val="auto"/>
          <w:sz w:val="32"/>
          <w:szCs w:val="32"/>
          <w:highlight w:val="none"/>
        </w:rPr>
        <w:t>。</w:t>
      </w:r>
    </w:p>
    <w:p w14:paraId="55162CD7">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新建项目的营业执照注册日期在2024年1月1日（含）后，且已持续经营满6个月；升级改造的门店营业执照注册日期在2020年1月1日（不含）前，升级改造日期在2024年1月1日（含）后，且改造后已持续经营满3个月。</w:t>
      </w:r>
    </w:p>
    <w:p w14:paraId="1D2F71C8">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）申报网点需实行</w:t>
      </w:r>
      <w:r>
        <w:rPr>
          <w:rFonts w:hint="eastAsia" w:ascii="仿宋_GB2312" w:eastAsia="仿宋_GB2312"/>
          <w:color w:val="auto"/>
          <w:sz w:val="32"/>
          <w:szCs w:val="32"/>
          <w:highlight w:val="none"/>
        </w:rPr>
        <w:t>“统一标识、统一采购、统一配送、统一着装、统一衡器、统一管理”</w:t>
      </w:r>
      <w:r>
        <w:rPr>
          <w:rFonts w:hint="eastAsia" w:ascii="仿宋_GB2312" w:hAnsi="仿宋_GB2312" w:eastAsia="仿宋_GB2312" w:cs="仿宋_GB2312"/>
          <w:color w:val="auto"/>
          <w:sz w:val="32"/>
          <w:szCs w:val="32"/>
          <w:highlight w:val="none"/>
        </w:rPr>
        <w:t>。</w:t>
      </w:r>
    </w:p>
    <w:p w14:paraId="16459809">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）申报网点需经营面积不低于30平方米，其中蔬菜零售面积不低于经营面积的1/2（经营面积大于50平方米的社区菜店网点，其中蔬菜零售面积不低于经营面积的1/3），蔬菜零售品种不低于15种。</w:t>
      </w:r>
    </w:p>
    <w:p w14:paraId="351EA305">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rPr>
        <w:t>）新建和规范提升网点建设应重点参照《生活性服务行业行业标准规范汇编之一--蔬菜零售行业》关于社区菜店的设置和管理规范。</w:t>
      </w:r>
    </w:p>
    <w:p w14:paraId="3754BBD8">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ascii="仿宋_GB2312"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七</w:t>
      </w:r>
      <w:r>
        <w:rPr>
          <w:rFonts w:hint="eastAsia" w:ascii="仿宋_GB2312" w:eastAsia="仿宋_GB2312"/>
          <w:color w:val="auto"/>
          <w:sz w:val="32"/>
          <w:szCs w:val="32"/>
          <w:highlight w:val="none"/>
        </w:rPr>
        <w:t>）申报网点应做好经营场所内部蚊、蝇、鼠、蟑螂等病媒生物的防控工作，严格遵守卫生、食药等部门管理要求，配合做好各项相关工作。</w:t>
      </w:r>
    </w:p>
    <w:p w14:paraId="7A38DE2D">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ascii="仿宋_GB2312" w:eastAsia="仿宋_GB2312"/>
          <w:color w:val="auto"/>
          <w:sz w:val="32"/>
          <w:szCs w:val="32"/>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八</w:t>
      </w:r>
      <w:r>
        <w:rPr>
          <w:rFonts w:hint="eastAsia" w:ascii="仿宋_GB2312" w:hAnsi="仿宋" w:eastAsia="仿宋_GB2312"/>
          <w:color w:val="auto"/>
          <w:sz w:val="32"/>
          <w:szCs w:val="32"/>
          <w:highlight w:val="none"/>
        </w:rPr>
        <w:t>）</w:t>
      </w:r>
      <w:r>
        <w:rPr>
          <w:rFonts w:hint="eastAsia" w:ascii="仿宋_GB2312" w:eastAsia="仿宋_GB2312"/>
          <w:color w:val="auto"/>
          <w:sz w:val="32"/>
          <w:szCs w:val="32"/>
          <w:highlight w:val="none"/>
        </w:rPr>
        <w:t>申报网点应严格落实《北京市控制吸烟条例》相关要求，做好经营场所内部控烟工作，营造无烟服务环境。</w:t>
      </w:r>
    </w:p>
    <w:p w14:paraId="5E0DCEC5">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九</w:t>
      </w:r>
      <w:r>
        <w:rPr>
          <w:rFonts w:hint="eastAsia" w:ascii="仿宋_GB2312" w:hAnsi="仿宋" w:eastAsia="仿宋_GB2312"/>
          <w:color w:val="auto"/>
          <w:sz w:val="32"/>
          <w:szCs w:val="32"/>
          <w:highlight w:val="none"/>
        </w:rPr>
        <w:t>）</w:t>
      </w:r>
      <w:r>
        <w:rPr>
          <w:rFonts w:hint="eastAsia" w:ascii="仿宋_GB2312" w:eastAsia="仿宋_GB2312"/>
          <w:color w:val="auto"/>
          <w:sz w:val="32"/>
          <w:szCs w:val="32"/>
          <w:highlight w:val="none"/>
        </w:rPr>
        <w:t>申报网点应</w:t>
      </w:r>
      <w:r>
        <w:rPr>
          <w:rFonts w:hint="eastAsia" w:ascii="仿宋_GB2312" w:hAnsi="仿宋" w:eastAsia="仿宋_GB2312"/>
          <w:color w:val="auto"/>
          <w:sz w:val="32"/>
          <w:szCs w:val="32"/>
          <w:highlight w:val="none"/>
        </w:rPr>
        <w:t>积极参与</w:t>
      </w:r>
      <w:r>
        <w:rPr>
          <w:rFonts w:hint="eastAsia" w:ascii="仿宋_GB2312" w:hAnsi="华文中宋" w:eastAsia="仿宋_GB2312"/>
          <w:color w:val="auto"/>
          <w:sz w:val="32"/>
          <w:szCs w:val="32"/>
          <w:highlight w:val="none"/>
        </w:rPr>
        <w:t>“一刻钟社区服务圈”建设</w:t>
      </w:r>
      <w:r>
        <w:rPr>
          <w:rFonts w:hint="eastAsia" w:ascii="仿宋_GB2312" w:hAnsi="仿宋" w:eastAsia="仿宋_GB2312"/>
          <w:color w:val="auto"/>
          <w:sz w:val="32"/>
          <w:szCs w:val="32"/>
          <w:highlight w:val="none"/>
        </w:rPr>
        <w:t>，鼓励搭载相关社区便民商业服务，配合所属镇人民政府（街道办事处）做好社区服务。</w:t>
      </w:r>
    </w:p>
    <w:p w14:paraId="075A1360">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ascii="仿宋_GB2312"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十</w:t>
      </w:r>
      <w:r>
        <w:rPr>
          <w:rFonts w:hint="eastAsia" w:ascii="仿宋_GB2312" w:eastAsia="仿宋_GB2312"/>
          <w:color w:val="auto"/>
          <w:sz w:val="32"/>
          <w:szCs w:val="32"/>
          <w:highlight w:val="none"/>
        </w:rPr>
        <w:t>）申报网点应在优化智能服务方式的同时，充分考虑老年群体的特殊性，应保留传统面对面人工服务和现金支付方式，有效解决老年人无法使用智能技术获取线上服务的困难。同时，鼓励搭载助老服务，开辟老年人绿色通道及专门服务，保障老年顾客消费权益。</w:t>
      </w:r>
    </w:p>
    <w:p w14:paraId="4BB3A88C">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三、支持方式</w:t>
      </w:r>
    </w:p>
    <w:p w14:paraId="6812FCFF">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经第三方评审机构审定后，以财政补贴方式给予支持。</w:t>
      </w:r>
    </w:p>
    <w:p w14:paraId="10FA0C33">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baseline"/>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四、</w:t>
      </w:r>
      <w:r>
        <w:rPr>
          <w:rFonts w:hint="eastAsia" w:ascii="黑体" w:hAnsi="黑体" w:eastAsia="黑体" w:cs="黑体"/>
          <w:color w:val="auto"/>
          <w:sz w:val="32"/>
          <w:szCs w:val="32"/>
          <w:highlight w:val="none"/>
        </w:rPr>
        <w:t>支持标准</w:t>
      </w:r>
    </w:p>
    <w:p w14:paraId="7244AC1A">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黑体" w:hAnsi="黑体" w:eastAsia="黑体" w:cs="黑体"/>
          <w:color w:val="auto"/>
          <w:sz w:val="32"/>
          <w:szCs w:val="32"/>
          <w:highlight w:val="none"/>
        </w:rPr>
      </w:pPr>
      <w:r>
        <w:rPr>
          <w:rFonts w:hint="eastAsia" w:ascii="仿宋_GB2312" w:hAnsi="仿宋_GB2312" w:eastAsia="仿宋_GB2312" w:cs="仿宋_GB2312"/>
          <w:color w:val="auto"/>
          <w:sz w:val="32"/>
          <w:szCs w:val="32"/>
          <w:highlight w:val="none"/>
        </w:rPr>
        <w:t>申报202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年度补贴政策的网点，按不超过各项投资审定投资额的50%标准给予支持。</w:t>
      </w:r>
    </w:p>
    <w:p w14:paraId="07B40BF4">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楷体" w:hAnsi="楷体" w:eastAsia="楷体" w:cs="楷体"/>
          <w:color w:val="auto"/>
          <w:sz w:val="32"/>
          <w:szCs w:val="32"/>
          <w:highlight w:val="none"/>
        </w:rPr>
      </w:pPr>
      <w:r>
        <w:rPr>
          <w:rFonts w:hint="eastAsia" w:ascii="楷体_GB2312" w:hAnsi="楷体_GB2312" w:eastAsia="楷体_GB2312" w:cs="楷体_GB2312"/>
          <w:color w:val="auto"/>
          <w:sz w:val="32"/>
          <w:szCs w:val="32"/>
          <w:highlight w:val="none"/>
        </w:rPr>
        <w:t>（一）新建社区菜店资金补助</w:t>
      </w:r>
    </w:p>
    <w:p w14:paraId="25A69EA2">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color w:val="auto"/>
          <w:sz w:val="32"/>
          <w:szCs w:val="32"/>
          <w:highlight w:val="none"/>
          <w:lang w:val="en-US" w:eastAsia="zh-CN"/>
        </w:rPr>
      </w:pPr>
      <w:bookmarkStart w:id="1" w:name="OLE_LINK1"/>
      <w:r>
        <w:rPr>
          <w:rFonts w:hint="eastAsia" w:ascii="仿宋_GB2312" w:hAnsi="仿宋_GB2312" w:eastAsia="仿宋_GB2312" w:cs="仿宋_GB2312"/>
          <w:color w:val="auto"/>
          <w:sz w:val="32"/>
          <w:szCs w:val="32"/>
          <w:highlight w:val="none"/>
        </w:rPr>
        <w:t>单个网点可申请店面装修、硬软件设备购置的补贴资金额度最高不超过15 万元。</w:t>
      </w:r>
    </w:p>
    <w:bookmarkEnd w:id="1"/>
    <w:p w14:paraId="2E718D39">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楷体" w:hAnsi="楷体" w:eastAsia="楷体" w:cs="楷体"/>
          <w:color w:val="auto"/>
          <w:sz w:val="32"/>
          <w:szCs w:val="32"/>
          <w:highlight w:val="none"/>
        </w:rPr>
      </w:pPr>
      <w:r>
        <w:rPr>
          <w:rFonts w:hint="eastAsia" w:ascii="楷体_GB2312" w:hAnsi="楷体_GB2312" w:eastAsia="楷体_GB2312" w:cs="楷体_GB2312"/>
          <w:color w:val="auto"/>
          <w:sz w:val="32"/>
          <w:szCs w:val="32"/>
          <w:highlight w:val="none"/>
        </w:rPr>
        <w:t>（二）规范提升社区菜店资金补助</w:t>
      </w:r>
    </w:p>
    <w:p w14:paraId="0E12BCA4">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单个网点可申请店面装修、硬软件设备购置的补贴资金额度最高不超过10万元。</w:t>
      </w:r>
    </w:p>
    <w:p w14:paraId="43C1EC3D">
      <w:pPr>
        <w:keepNext w:val="0"/>
        <w:keepLines w:val="0"/>
        <w:pageBreakBefore w:val="0"/>
        <w:kinsoku/>
        <w:overflowPunct/>
        <w:topLinePunct w:val="0"/>
        <w:autoSpaceDE/>
        <w:autoSpaceDN/>
        <w:bidi w:val="0"/>
        <w:adjustRightInd/>
        <w:snapToGrid/>
        <w:spacing w:line="560" w:lineRule="exact"/>
        <w:textAlignment w:val="baseline"/>
        <w:rPr>
          <w:rFonts w:ascii="仿宋_GB2312" w:hAnsi="仿宋_GB2312" w:eastAsia="仿宋_GB2312" w:cs="仿宋_GB2312"/>
          <w:color w:val="auto"/>
          <w:sz w:val="32"/>
          <w:szCs w:val="40"/>
          <w:highlight w:val="none"/>
        </w:rPr>
      </w:pPr>
    </w:p>
    <w:p w14:paraId="04B16F41">
      <w:pPr>
        <w:keepNext w:val="0"/>
        <w:keepLines w:val="0"/>
        <w:pageBreakBefore w:val="0"/>
        <w:kinsoku/>
        <w:overflowPunct/>
        <w:topLinePunct w:val="0"/>
        <w:autoSpaceDE/>
        <w:autoSpaceDN/>
        <w:bidi w:val="0"/>
        <w:adjustRightInd/>
        <w:snapToGrid/>
        <w:spacing w:line="560" w:lineRule="exact"/>
        <w:jc w:val="center"/>
        <w:textAlignment w:val="baseline"/>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第二章  新建和规范提升生鲜超市</w:t>
      </w:r>
    </w:p>
    <w:p w14:paraId="7F53F8D5">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一、支持内容</w:t>
      </w:r>
    </w:p>
    <w:p w14:paraId="660B1816">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rPr>
        <w:t>一）新建生鲜超市</w:t>
      </w:r>
    </w:p>
    <w:p w14:paraId="4DD8B919">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年1月1日以来新建的连锁生鲜超市，在网点店面装修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硬软件设备购置等方面的支出，可</w:t>
      </w:r>
      <w:r>
        <w:rPr>
          <w:rFonts w:hint="eastAsia" w:ascii="仿宋_GB2312" w:hAnsi="仿宋_GB2312" w:eastAsia="仿宋_GB2312" w:cs="仿宋_GB2312"/>
          <w:color w:val="auto"/>
          <w:sz w:val="32"/>
          <w:szCs w:val="32"/>
          <w:highlight w:val="none"/>
          <w:lang w:val="en-US" w:eastAsia="zh-CN"/>
        </w:rPr>
        <w:t>按照</w:t>
      </w:r>
      <w:r>
        <w:rPr>
          <w:rFonts w:hint="eastAsia" w:ascii="仿宋_GB2312" w:hAnsi="仿宋_GB2312" w:eastAsia="仿宋_GB2312" w:cs="仿宋_GB2312"/>
          <w:color w:val="auto"/>
          <w:sz w:val="32"/>
          <w:szCs w:val="32"/>
          <w:highlight w:val="none"/>
        </w:rPr>
        <w:t>不超过审定投资额的50%给予支持，且不超过最高补贴额上限。</w:t>
      </w:r>
    </w:p>
    <w:p w14:paraId="6434A21F">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（二）规范提升生鲜超市</w:t>
      </w:r>
    </w:p>
    <w:p w14:paraId="128236BE">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黑体" w:hAnsi="黑体" w:eastAsia="黑体" w:cs="黑体"/>
          <w:color w:val="auto"/>
          <w:sz w:val="32"/>
          <w:szCs w:val="32"/>
          <w:highlight w:val="none"/>
        </w:rPr>
      </w:pPr>
      <w:r>
        <w:rPr>
          <w:rFonts w:hint="eastAsia" w:ascii="仿宋_GB2312" w:hAnsi="仿宋_GB2312" w:eastAsia="仿宋_GB2312" w:cs="仿宋_GB2312"/>
          <w:color w:val="auto"/>
          <w:sz w:val="32"/>
          <w:szCs w:val="32"/>
          <w:highlight w:val="none"/>
        </w:rPr>
        <w:t>对202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年1月1日以来规范提升的连锁生鲜超市，在网点店面装修、硬软件设备购置等方面的支出，可</w:t>
      </w:r>
      <w:r>
        <w:rPr>
          <w:rFonts w:hint="eastAsia" w:ascii="仿宋_GB2312" w:hAnsi="仿宋_GB2312" w:eastAsia="仿宋_GB2312" w:cs="仿宋_GB2312"/>
          <w:color w:val="auto"/>
          <w:sz w:val="32"/>
          <w:szCs w:val="32"/>
          <w:highlight w:val="none"/>
          <w:lang w:val="en-US" w:eastAsia="zh-CN"/>
        </w:rPr>
        <w:t>按照</w:t>
      </w:r>
      <w:r>
        <w:rPr>
          <w:rFonts w:hint="eastAsia" w:ascii="仿宋_GB2312" w:hAnsi="仿宋_GB2312" w:eastAsia="仿宋_GB2312" w:cs="仿宋_GB2312"/>
          <w:color w:val="auto"/>
          <w:sz w:val="32"/>
          <w:szCs w:val="32"/>
          <w:highlight w:val="none"/>
        </w:rPr>
        <w:t>不超过审定投资额的50%给予支持，且不超过最高补贴额上限。</w:t>
      </w:r>
    </w:p>
    <w:p w14:paraId="4E0AA0BD">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二、支持条件</w:t>
      </w:r>
    </w:p>
    <w:p w14:paraId="6960DAB5">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（一）申报主体需为在</w:t>
      </w:r>
      <w:r>
        <w:rPr>
          <w:rFonts w:hint="eastAsia" w:ascii="仿宋_GB2312" w:hAnsi="仿宋_GB2312" w:eastAsia="仿宋_GB2312" w:cs="仿宋_GB2312"/>
          <w:color w:val="auto"/>
          <w:sz w:val="32"/>
          <w:szCs w:val="32"/>
          <w:highlight w:val="none"/>
          <w:lang w:val="en-US" w:eastAsia="zh-CN"/>
        </w:rPr>
        <w:t>大兴区内合法经营</w:t>
      </w:r>
      <w:r>
        <w:rPr>
          <w:rFonts w:hint="eastAsia" w:ascii="仿宋_GB2312" w:hAnsi="仿宋_GB2312" w:eastAsia="仿宋_GB2312" w:cs="仿宋_GB2312"/>
          <w:color w:val="auto"/>
          <w:sz w:val="32"/>
          <w:szCs w:val="32"/>
          <w:highlight w:val="none"/>
        </w:rPr>
        <w:t>的具有农产品经营资格的连锁企业，证照齐全，</w:t>
      </w:r>
      <w:r>
        <w:rPr>
          <w:rFonts w:hint="eastAsia" w:ascii="仿宋_GB2312" w:eastAsia="仿宋_GB2312"/>
          <w:color w:val="auto"/>
          <w:sz w:val="32"/>
          <w:szCs w:val="32"/>
          <w:highlight w:val="none"/>
        </w:rPr>
        <w:t>企业资信状况良好，近一年无不良行为记录，能较好地履行企业社会责任</w:t>
      </w:r>
      <w:r>
        <w:rPr>
          <w:rFonts w:hint="eastAsia" w:ascii="仿宋_GB2312" w:hAnsi="仿宋_GB2312" w:eastAsia="仿宋_GB2312" w:cs="仿宋_GB2312"/>
          <w:color w:val="auto"/>
          <w:sz w:val="32"/>
          <w:szCs w:val="32"/>
          <w:highlight w:val="none"/>
        </w:rPr>
        <w:t>。</w:t>
      </w:r>
    </w:p>
    <w:p w14:paraId="0B03A651">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（二）项目申报单位资金支付及发票开具时间在2024年1月1日（含）之后。且审定实际投资额不低于审定计划投资总额（符合支持方向的合同投资总额）的70%</w:t>
      </w:r>
      <w:r>
        <w:rPr>
          <w:rFonts w:hint="eastAsia" w:ascii="仿宋_GB2312" w:hAnsi="仿宋_GB2312" w:eastAsia="仿宋_GB2312" w:cs="仿宋_GB2312"/>
          <w:color w:val="auto"/>
          <w:sz w:val="32"/>
          <w:szCs w:val="32"/>
          <w:highlight w:val="none"/>
          <w:lang w:val="en-US" w:eastAsia="zh-CN"/>
        </w:rPr>
        <w:t>且超过20万元</w:t>
      </w:r>
      <w:r>
        <w:rPr>
          <w:rFonts w:hint="eastAsia" w:ascii="仿宋_GB2312" w:hAnsi="仿宋_GB2312" w:eastAsia="仿宋_GB2312" w:cs="仿宋_GB2312"/>
          <w:color w:val="auto"/>
          <w:sz w:val="32"/>
          <w:szCs w:val="32"/>
          <w:highlight w:val="none"/>
        </w:rPr>
        <w:t>。</w:t>
      </w:r>
    </w:p>
    <w:p w14:paraId="09E007D1">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新建项目的营业执照注册日期在2024年1月1日（含）后，且已持续经营满6个月；升级改造的门店营业执照注册日期在2020年1月1日（不含）前，升级改造日期在2024年1月1日（含）后，且改造后已持续经营满3个月。</w:t>
      </w:r>
    </w:p>
    <w:p w14:paraId="75EDEBD5">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四</w:t>
      </w:r>
      <w:r>
        <w:rPr>
          <w:rFonts w:hint="eastAsia" w:ascii="仿宋_GB2312" w:eastAsia="仿宋_GB2312"/>
          <w:color w:val="auto"/>
          <w:sz w:val="32"/>
          <w:szCs w:val="32"/>
          <w:highlight w:val="none"/>
        </w:rPr>
        <w:t>）申报网点需实行“统一标识、统一采购、统一配送、统一着装、统一衡器、统一管理”。</w:t>
      </w:r>
    </w:p>
    <w:p w14:paraId="613F54AB">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申报网点需经营内容以蔬菜、水果、水产品、畜禽肉、禽蛋、干调、粮油等生鲜农产品经营为主，可适度经营熟食、加工食品、花卉绿植及其他生活必需品，经营面积不低于500平方米，其中生鲜面积不低于经营面积的2/3，蔬菜零售面积不低于生鲜面积的1/3。</w:t>
      </w:r>
    </w:p>
    <w:p w14:paraId="569B5431">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rPr>
        <w:t>）新建和规范提升网点建设应重点参照《生活性服务行业行业标准规范汇编之一--蔬菜零售行业》关于生鲜超市的设置和管理规范。</w:t>
      </w:r>
    </w:p>
    <w:p w14:paraId="67963FC2">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七</w:t>
      </w:r>
      <w:r>
        <w:rPr>
          <w:rFonts w:hint="eastAsia" w:ascii="仿宋_GB2312" w:eastAsia="仿宋_GB2312"/>
          <w:color w:val="auto"/>
          <w:sz w:val="32"/>
          <w:szCs w:val="32"/>
          <w:highlight w:val="none"/>
        </w:rPr>
        <w:t>）申报网点需做好经营场所内部蚊、蝇、鼠、蟑螂等病媒生物的防控工作，严格遵守卫生、食药等部门管理要求，配合做好各项相关工作。</w:t>
      </w:r>
    </w:p>
    <w:p w14:paraId="6218E13E">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eastAsia="仿宋_GB2312"/>
          <w:color w:val="auto"/>
          <w:sz w:val="32"/>
          <w:szCs w:val="32"/>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八</w:t>
      </w:r>
      <w:r>
        <w:rPr>
          <w:rFonts w:hint="eastAsia" w:ascii="仿宋_GB2312" w:hAnsi="仿宋" w:eastAsia="仿宋_GB2312"/>
          <w:color w:val="auto"/>
          <w:sz w:val="32"/>
          <w:szCs w:val="32"/>
          <w:highlight w:val="none"/>
        </w:rPr>
        <w:t>）</w:t>
      </w:r>
      <w:r>
        <w:rPr>
          <w:rFonts w:hint="eastAsia" w:ascii="仿宋_GB2312" w:eastAsia="仿宋_GB2312"/>
          <w:color w:val="auto"/>
          <w:sz w:val="32"/>
          <w:szCs w:val="32"/>
          <w:highlight w:val="none"/>
        </w:rPr>
        <w:t>申报网点应严格落实《北京市控制吸烟条例》相关要求，做好经营场所内部控烟工作，营造无烟服务环境。</w:t>
      </w:r>
    </w:p>
    <w:p w14:paraId="1A3EA291">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九</w:t>
      </w:r>
      <w:r>
        <w:rPr>
          <w:rFonts w:hint="eastAsia" w:ascii="仿宋_GB2312" w:hAnsi="仿宋" w:eastAsia="仿宋_GB2312"/>
          <w:color w:val="auto"/>
          <w:sz w:val="32"/>
          <w:szCs w:val="32"/>
          <w:highlight w:val="none"/>
        </w:rPr>
        <w:t>）</w:t>
      </w:r>
      <w:r>
        <w:rPr>
          <w:rFonts w:hint="eastAsia" w:ascii="仿宋_GB2312" w:eastAsia="仿宋_GB2312"/>
          <w:color w:val="auto"/>
          <w:sz w:val="32"/>
          <w:szCs w:val="32"/>
          <w:highlight w:val="none"/>
        </w:rPr>
        <w:t>申报网点应</w:t>
      </w:r>
      <w:r>
        <w:rPr>
          <w:rFonts w:hint="eastAsia" w:ascii="仿宋_GB2312" w:hAnsi="仿宋" w:eastAsia="仿宋_GB2312"/>
          <w:color w:val="auto"/>
          <w:sz w:val="32"/>
          <w:szCs w:val="32"/>
          <w:highlight w:val="none"/>
        </w:rPr>
        <w:t>积极参与</w:t>
      </w:r>
      <w:r>
        <w:rPr>
          <w:rFonts w:hint="eastAsia" w:ascii="仿宋_GB2312" w:hAnsi="华文中宋" w:eastAsia="仿宋_GB2312"/>
          <w:color w:val="auto"/>
          <w:sz w:val="32"/>
          <w:szCs w:val="32"/>
          <w:highlight w:val="none"/>
        </w:rPr>
        <w:t>“一刻钟社区服务圈”建设</w:t>
      </w:r>
      <w:r>
        <w:rPr>
          <w:rFonts w:hint="eastAsia" w:ascii="仿宋_GB2312" w:hAnsi="仿宋" w:eastAsia="仿宋_GB2312"/>
          <w:color w:val="auto"/>
          <w:sz w:val="32"/>
          <w:szCs w:val="32"/>
          <w:highlight w:val="none"/>
        </w:rPr>
        <w:t>，鼓励搭载相关社区便民商业服务，配合所属镇人民政府（街道办事处）做好社区服务。</w:t>
      </w:r>
    </w:p>
    <w:p w14:paraId="528FD9D3">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hAnsi="仿宋"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十</w:t>
      </w:r>
      <w:r>
        <w:rPr>
          <w:rFonts w:hint="eastAsia" w:ascii="仿宋_GB2312" w:eastAsia="仿宋_GB2312"/>
          <w:color w:val="auto"/>
          <w:sz w:val="32"/>
          <w:szCs w:val="32"/>
          <w:highlight w:val="none"/>
        </w:rPr>
        <w:t>）申报网点应在优化智能服务方式的同时，充分考虑老年群体的特殊性，应保留传统面对面人工服务和现金支付方式，有效解决老年人无法使用智能技术获取线上服务的困难。同时，鼓励搭载助老服务，开辟老年人绿色通道及专门服务，保障老年顾客消费权益。</w:t>
      </w:r>
    </w:p>
    <w:p w14:paraId="19A57A5B">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三、支持方式</w:t>
      </w:r>
    </w:p>
    <w:p w14:paraId="4D34B8D4">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经第三方评审机构审定后，以财政补贴方式给予支持。</w:t>
      </w:r>
    </w:p>
    <w:p w14:paraId="46A2C63A">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baseline"/>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四、</w:t>
      </w:r>
      <w:r>
        <w:rPr>
          <w:rFonts w:hint="eastAsia" w:ascii="黑体" w:hAnsi="黑体" w:eastAsia="黑体" w:cs="黑体"/>
          <w:color w:val="auto"/>
          <w:sz w:val="32"/>
          <w:szCs w:val="32"/>
          <w:highlight w:val="none"/>
        </w:rPr>
        <w:t>支持标准</w:t>
      </w:r>
    </w:p>
    <w:p w14:paraId="28B97A2E">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黑体" w:hAnsi="黑体" w:eastAsia="黑体" w:cs="黑体"/>
          <w:color w:val="auto"/>
          <w:sz w:val="32"/>
          <w:szCs w:val="32"/>
          <w:highlight w:val="none"/>
        </w:rPr>
      </w:pPr>
      <w:r>
        <w:rPr>
          <w:rFonts w:hint="eastAsia" w:ascii="仿宋_GB2312" w:hAnsi="仿宋_GB2312" w:eastAsia="仿宋_GB2312" w:cs="仿宋_GB2312"/>
          <w:color w:val="auto"/>
          <w:sz w:val="32"/>
          <w:szCs w:val="32"/>
          <w:highlight w:val="none"/>
        </w:rPr>
        <w:t>申报202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年度补贴政策的网点，按不超过各项投资审定投资额的50%标准给予支持。</w:t>
      </w:r>
    </w:p>
    <w:p w14:paraId="20F3FD88">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baseline"/>
        <w:rPr>
          <w:rFonts w:ascii="楷体" w:hAnsi="楷体" w:eastAsia="楷体" w:cs="楷体"/>
          <w:color w:val="auto"/>
          <w:sz w:val="32"/>
          <w:szCs w:val="32"/>
          <w:highlight w:val="none"/>
        </w:rPr>
      </w:pPr>
      <w:r>
        <w:rPr>
          <w:rFonts w:hint="eastAsia" w:ascii="楷体_GB2312" w:hAnsi="楷体_GB2312" w:eastAsia="楷体_GB2312" w:cs="楷体_GB2312"/>
          <w:color w:val="auto"/>
          <w:sz w:val="32"/>
          <w:szCs w:val="32"/>
          <w:highlight w:val="none"/>
          <w:lang w:eastAsia="zh-CN"/>
        </w:rPr>
        <w:t>（一）</w:t>
      </w:r>
      <w:r>
        <w:rPr>
          <w:rFonts w:hint="eastAsia" w:ascii="楷体_GB2312" w:hAnsi="楷体_GB2312" w:eastAsia="楷体_GB2312" w:cs="楷体_GB2312"/>
          <w:color w:val="auto"/>
          <w:sz w:val="32"/>
          <w:szCs w:val="32"/>
          <w:highlight w:val="none"/>
        </w:rPr>
        <w:t>新建生鲜超市网点资金补助</w:t>
      </w:r>
    </w:p>
    <w:p w14:paraId="29F51E51">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单个网点可申请店面装修、硬软件设备购置的补贴资金额度最高不超过</w:t>
      </w:r>
      <w:r>
        <w:rPr>
          <w:rFonts w:hint="eastAsia" w:ascii="仿宋_GB2312" w:hAnsi="仿宋_GB2312" w:eastAsia="仿宋_GB2312" w:cs="仿宋_GB2312"/>
          <w:color w:val="auto"/>
          <w:sz w:val="32"/>
          <w:szCs w:val="32"/>
          <w:highlight w:val="none"/>
          <w:lang w:val="en-US" w:eastAsia="zh-CN"/>
        </w:rPr>
        <w:t>60</w:t>
      </w:r>
      <w:r>
        <w:rPr>
          <w:rFonts w:hint="eastAsia" w:ascii="仿宋_GB2312" w:hAnsi="仿宋_GB2312" w:eastAsia="仿宋_GB2312" w:cs="仿宋_GB2312"/>
          <w:color w:val="auto"/>
          <w:sz w:val="32"/>
          <w:szCs w:val="32"/>
          <w:highlight w:val="none"/>
        </w:rPr>
        <w:t xml:space="preserve"> 万元。</w:t>
      </w:r>
    </w:p>
    <w:p w14:paraId="7B3ADC35">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楷体" w:hAnsi="楷体" w:eastAsia="楷体" w:cs="楷体"/>
          <w:color w:val="auto"/>
          <w:sz w:val="32"/>
          <w:szCs w:val="32"/>
          <w:highlight w:val="none"/>
        </w:rPr>
      </w:pPr>
      <w:r>
        <w:rPr>
          <w:rFonts w:hint="eastAsia" w:ascii="楷体_GB2312" w:hAnsi="楷体_GB2312" w:eastAsia="楷体_GB2312" w:cs="楷体_GB2312"/>
          <w:color w:val="auto"/>
          <w:sz w:val="32"/>
          <w:szCs w:val="32"/>
          <w:highlight w:val="none"/>
          <w:lang w:eastAsia="zh-CN"/>
        </w:rPr>
        <w:t>（二）规范提升生鲜超市网点资金补助</w:t>
      </w:r>
    </w:p>
    <w:p w14:paraId="42AF446D">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单个网点可申请店面装修、硬软件设备购置的补贴资金额度最高不超过30万元。</w:t>
      </w:r>
    </w:p>
    <w:p w14:paraId="1B0224DE">
      <w:pPr>
        <w:keepNext w:val="0"/>
        <w:keepLines w:val="0"/>
        <w:pageBreakBefore w:val="0"/>
        <w:kinsoku/>
        <w:overflowPunct/>
        <w:topLinePunct w:val="0"/>
        <w:autoSpaceDE/>
        <w:autoSpaceDN/>
        <w:bidi w:val="0"/>
        <w:adjustRightInd/>
        <w:snapToGrid/>
        <w:spacing w:line="560" w:lineRule="exact"/>
        <w:textAlignment w:val="baseline"/>
        <w:rPr>
          <w:rFonts w:hint="eastAsia" w:ascii="仿宋_GB2312" w:hAnsi="仿宋_GB2312" w:eastAsia="仿宋_GB2312" w:cs="仿宋_GB2312"/>
          <w:color w:val="auto"/>
          <w:sz w:val="32"/>
          <w:szCs w:val="32"/>
          <w:highlight w:val="none"/>
        </w:rPr>
      </w:pPr>
    </w:p>
    <w:p w14:paraId="6E2BA8B1">
      <w:pPr>
        <w:keepNext w:val="0"/>
        <w:keepLines w:val="0"/>
        <w:pageBreakBefore w:val="0"/>
        <w:kinsoku/>
        <w:overflowPunct/>
        <w:topLinePunct w:val="0"/>
        <w:autoSpaceDE/>
        <w:autoSpaceDN/>
        <w:bidi w:val="0"/>
        <w:adjustRightInd/>
        <w:snapToGrid/>
        <w:spacing w:line="560" w:lineRule="exact"/>
        <w:jc w:val="center"/>
        <w:textAlignment w:val="baseline"/>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第</w:t>
      </w:r>
      <w:r>
        <w:rPr>
          <w:rFonts w:hint="eastAsia" w:ascii="黑体" w:hAnsi="黑体" w:eastAsia="黑体" w:cs="黑体"/>
          <w:color w:val="auto"/>
          <w:sz w:val="36"/>
          <w:szCs w:val="36"/>
          <w:highlight w:val="none"/>
          <w:lang w:val="en-US" w:eastAsia="zh-CN"/>
        </w:rPr>
        <w:t>三</w:t>
      </w:r>
      <w:r>
        <w:rPr>
          <w:rFonts w:hint="eastAsia" w:ascii="黑体" w:hAnsi="黑体" w:eastAsia="黑体" w:cs="黑体"/>
          <w:color w:val="auto"/>
          <w:sz w:val="36"/>
          <w:szCs w:val="36"/>
          <w:highlight w:val="none"/>
        </w:rPr>
        <w:t>章  新建和规范提升便民早餐网点</w:t>
      </w:r>
    </w:p>
    <w:p w14:paraId="49EC21BB">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一、支持内容</w:t>
      </w:r>
    </w:p>
    <w:p w14:paraId="2D2DACB5">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（一）新建便民早餐网点</w:t>
      </w:r>
    </w:p>
    <w:p w14:paraId="4C623D4F">
      <w:pPr>
        <w:keepNext w:val="0"/>
        <w:keepLines w:val="0"/>
        <w:pageBreakBefore w:val="0"/>
        <w:kinsoku/>
        <w:overflowPunct/>
        <w:topLinePunct w:val="0"/>
        <w:autoSpaceDE/>
        <w:autoSpaceDN/>
        <w:bidi w:val="0"/>
        <w:adjustRightInd/>
        <w:snapToGrid/>
        <w:spacing w:line="560" w:lineRule="exact"/>
        <w:ind w:firstLine="632" w:firstLineChars="200"/>
        <w:textAlignment w:val="baseline"/>
        <w:rPr>
          <w:rFonts w:ascii="仿宋_GB2312" w:hAnsi="仿宋_GB2312" w:eastAsia="仿宋_GB2312" w:cs="仿宋_GB2312"/>
          <w:color w:val="auto"/>
          <w:w w:val="99"/>
          <w:sz w:val="32"/>
          <w:szCs w:val="32"/>
          <w:highlight w:val="none"/>
        </w:rPr>
      </w:pPr>
      <w:r>
        <w:rPr>
          <w:rFonts w:hint="eastAsia" w:ascii="仿宋_GB2312" w:hAnsi="仿宋_GB2312" w:eastAsia="仿宋_GB2312" w:cs="仿宋_GB2312"/>
          <w:color w:val="auto"/>
          <w:w w:val="99"/>
          <w:sz w:val="32"/>
          <w:szCs w:val="32"/>
          <w:highlight w:val="none"/>
        </w:rPr>
        <w:t>对202</w:t>
      </w:r>
      <w:r>
        <w:rPr>
          <w:rFonts w:hint="eastAsia" w:ascii="仿宋_GB2312" w:hAnsi="仿宋_GB2312" w:eastAsia="仿宋_GB2312" w:cs="仿宋_GB2312"/>
          <w:color w:val="auto"/>
          <w:w w:val="99"/>
          <w:sz w:val="32"/>
          <w:szCs w:val="32"/>
          <w:highlight w:val="none"/>
          <w:lang w:val="en-US" w:eastAsia="zh-CN"/>
        </w:rPr>
        <w:t>4</w:t>
      </w:r>
      <w:r>
        <w:rPr>
          <w:rFonts w:hint="eastAsia" w:ascii="仿宋_GB2312" w:hAnsi="仿宋_GB2312" w:eastAsia="仿宋_GB2312" w:cs="仿宋_GB2312"/>
          <w:color w:val="auto"/>
          <w:w w:val="99"/>
          <w:sz w:val="32"/>
          <w:szCs w:val="32"/>
          <w:highlight w:val="none"/>
        </w:rPr>
        <w:t>年1月1日以来新建的固定连锁便民早餐网点，在网点店面装修</w:t>
      </w:r>
      <w:r>
        <w:rPr>
          <w:rFonts w:hint="eastAsia" w:ascii="仿宋_GB2312" w:hAnsi="仿宋_GB2312" w:eastAsia="仿宋_GB2312" w:cs="仿宋_GB2312"/>
          <w:color w:val="auto"/>
          <w:w w:val="99"/>
          <w:sz w:val="32"/>
          <w:szCs w:val="32"/>
          <w:highlight w:val="none"/>
          <w:lang w:eastAsia="zh-CN"/>
        </w:rPr>
        <w:t>、</w:t>
      </w:r>
      <w:r>
        <w:rPr>
          <w:rFonts w:hint="eastAsia" w:ascii="仿宋_GB2312" w:hAnsi="仿宋_GB2312" w:eastAsia="仿宋_GB2312" w:cs="仿宋_GB2312"/>
          <w:color w:val="auto"/>
          <w:w w:val="99"/>
          <w:sz w:val="32"/>
          <w:szCs w:val="32"/>
          <w:highlight w:val="none"/>
        </w:rPr>
        <w:t>硬软件设备购置等方面的支出，</w:t>
      </w:r>
      <w:r>
        <w:rPr>
          <w:rFonts w:hint="eastAsia" w:ascii="仿宋_GB2312" w:hAnsi="仿宋_GB2312" w:eastAsia="仿宋_GB2312" w:cs="仿宋_GB2312"/>
          <w:color w:val="auto"/>
          <w:sz w:val="32"/>
          <w:szCs w:val="32"/>
          <w:highlight w:val="none"/>
        </w:rPr>
        <w:t>可</w:t>
      </w:r>
      <w:r>
        <w:rPr>
          <w:rFonts w:hint="eastAsia" w:ascii="仿宋_GB2312" w:hAnsi="仿宋_GB2312" w:eastAsia="仿宋_GB2312" w:cs="仿宋_GB2312"/>
          <w:color w:val="auto"/>
          <w:sz w:val="32"/>
          <w:szCs w:val="32"/>
          <w:highlight w:val="none"/>
          <w:lang w:val="en-US" w:eastAsia="zh-CN"/>
        </w:rPr>
        <w:t>按照</w:t>
      </w:r>
      <w:r>
        <w:rPr>
          <w:rFonts w:hint="eastAsia" w:ascii="仿宋_GB2312" w:hAnsi="仿宋_GB2312" w:eastAsia="仿宋_GB2312" w:cs="仿宋_GB2312"/>
          <w:color w:val="auto"/>
          <w:sz w:val="32"/>
          <w:szCs w:val="32"/>
          <w:highlight w:val="none"/>
        </w:rPr>
        <w:t>不超过审定投资额的50%给予支持，且不超过最高补贴额上限。</w:t>
      </w:r>
    </w:p>
    <w:p w14:paraId="2C87E621">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（二）规范提升便民早餐网点</w:t>
      </w:r>
    </w:p>
    <w:p w14:paraId="7CFE8B58">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年1月1日以来规范提升的固定连锁便民早餐网点，在网点店面装修、硬软件设备购置等方面的支出，可</w:t>
      </w:r>
      <w:r>
        <w:rPr>
          <w:rFonts w:hint="eastAsia" w:ascii="仿宋_GB2312" w:hAnsi="仿宋_GB2312" w:eastAsia="仿宋_GB2312" w:cs="仿宋_GB2312"/>
          <w:color w:val="auto"/>
          <w:sz w:val="32"/>
          <w:szCs w:val="32"/>
          <w:highlight w:val="none"/>
          <w:lang w:val="en-US" w:eastAsia="zh-CN"/>
        </w:rPr>
        <w:t>按照</w:t>
      </w:r>
      <w:r>
        <w:rPr>
          <w:rFonts w:hint="eastAsia" w:ascii="仿宋_GB2312" w:hAnsi="仿宋_GB2312" w:eastAsia="仿宋_GB2312" w:cs="仿宋_GB2312"/>
          <w:color w:val="auto"/>
          <w:sz w:val="32"/>
          <w:szCs w:val="32"/>
          <w:highlight w:val="none"/>
        </w:rPr>
        <w:t>不超过审定投资额的50%给予支持，且不超过最高补贴额上限。</w:t>
      </w:r>
    </w:p>
    <w:p w14:paraId="6F7AA4D3">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二、支持条件</w:t>
      </w:r>
    </w:p>
    <w:p w14:paraId="73F61376">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（一）申报主体需为在</w:t>
      </w:r>
      <w:r>
        <w:rPr>
          <w:rFonts w:hint="eastAsia" w:ascii="仿宋_GB2312" w:hAnsi="仿宋_GB2312" w:eastAsia="仿宋_GB2312" w:cs="仿宋_GB2312"/>
          <w:color w:val="auto"/>
          <w:sz w:val="32"/>
          <w:szCs w:val="32"/>
          <w:highlight w:val="none"/>
          <w:lang w:val="en-US" w:eastAsia="zh-CN"/>
        </w:rPr>
        <w:t>大兴区内合法经营</w:t>
      </w:r>
      <w:r>
        <w:rPr>
          <w:rFonts w:hint="eastAsia" w:ascii="仿宋_GB2312" w:hAnsi="仿宋_GB2312" w:eastAsia="仿宋_GB2312" w:cs="仿宋_GB2312"/>
          <w:color w:val="auto"/>
          <w:sz w:val="32"/>
          <w:szCs w:val="32"/>
          <w:highlight w:val="none"/>
        </w:rPr>
        <w:t>的具有餐饮服务资质的连锁企业或具有餐饮服务资质连锁餐饮品牌的加盟商（含个体工商户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，证照齐全，企业资信状况良好，近一年无不良行为记录，</w:t>
      </w:r>
      <w:r>
        <w:rPr>
          <w:rFonts w:hint="eastAsia" w:ascii="仿宋_GB2312" w:eastAsia="仿宋_GB2312"/>
          <w:color w:val="auto"/>
          <w:sz w:val="32"/>
          <w:szCs w:val="32"/>
          <w:highlight w:val="none"/>
        </w:rPr>
        <w:t>能较好地履行企业社会责任</w:t>
      </w:r>
      <w:r>
        <w:rPr>
          <w:rFonts w:hint="eastAsia" w:ascii="仿宋_GB2312" w:hAnsi="仿宋_GB2312" w:eastAsia="仿宋_GB2312" w:cs="仿宋_GB2312"/>
          <w:color w:val="auto"/>
          <w:sz w:val="32"/>
          <w:szCs w:val="32"/>
          <w:highlight w:val="none"/>
        </w:rPr>
        <w:t>。</w:t>
      </w:r>
    </w:p>
    <w:p w14:paraId="1EE5E3AF">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（二）项目申报单位资金支付及发票开具时间在2024年1月1日（含）之后。且审定实际投资额不低于审定计划投资总额（符合支持方向的合同投资总额）的70%</w:t>
      </w:r>
      <w:r>
        <w:rPr>
          <w:rFonts w:hint="eastAsia" w:ascii="仿宋_GB2312" w:hAnsi="仿宋_GB2312" w:eastAsia="仿宋_GB2312" w:cs="仿宋_GB2312"/>
          <w:color w:val="auto"/>
          <w:sz w:val="32"/>
          <w:szCs w:val="32"/>
          <w:highlight w:val="none"/>
          <w:lang w:val="en-US" w:eastAsia="zh-CN"/>
        </w:rPr>
        <w:t>且超过10万元</w:t>
      </w:r>
      <w:r>
        <w:rPr>
          <w:rFonts w:hint="eastAsia" w:ascii="仿宋_GB2312" w:hAnsi="仿宋_GB2312" w:eastAsia="仿宋_GB2312" w:cs="仿宋_GB2312"/>
          <w:color w:val="auto"/>
          <w:sz w:val="32"/>
          <w:szCs w:val="32"/>
          <w:highlight w:val="none"/>
        </w:rPr>
        <w:t>。</w:t>
      </w:r>
    </w:p>
    <w:p w14:paraId="4532BB9F">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新建项目的营业执照注册日期在2024年1月1日（含）后，且已持续经营满6个月；升级改造的门店营业执照注册日期在2020年1月1日（不含）前，升级改造日期在2024年1月1日（含）后，且改造后已持续经营满3个月。</w:t>
      </w:r>
    </w:p>
    <w:p w14:paraId="7F41EA00">
      <w:pPr>
        <w:keepNext w:val="0"/>
        <w:keepLines w:val="0"/>
        <w:pageBreakBefore w:val="0"/>
        <w:kinsoku/>
        <w:overflowPunct/>
        <w:topLinePunct w:val="0"/>
        <w:autoSpaceDE/>
        <w:autoSpaceDN/>
        <w:bidi w:val="0"/>
        <w:adjustRightInd/>
        <w:snapToGrid/>
        <w:spacing w:line="560" w:lineRule="exact"/>
        <w:ind w:firstLine="632" w:firstLineChars="200"/>
        <w:textAlignment w:val="baseline"/>
        <w:rPr>
          <w:rFonts w:ascii="仿宋_GB2312" w:hAnsi="仿宋_GB2312" w:eastAsia="仿宋_GB2312" w:cs="仿宋_GB2312"/>
          <w:color w:val="auto"/>
          <w:w w:val="99"/>
          <w:sz w:val="32"/>
          <w:szCs w:val="32"/>
          <w:highlight w:val="none"/>
        </w:rPr>
      </w:pPr>
      <w:r>
        <w:rPr>
          <w:rFonts w:hint="eastAsia" w:ascii="仿宋_GB2312" w:hAnsi="仿宋_GB2312" w:eastAsia="仿宋_GB2312" w:cs="仿宋_GB2312"/>
          <w:color w:val="auto"/>
          <w:w w:val="99"/>
          <w:sz w:val="32"/>
          <w:szCs w:val="32"/>
          <w:highlight w:val="none"/>
        </w:rPr>
        <w:t>（</w:t>
      </w:r>
      <w:r>
        <w:rPr>
          <w:rFonts w:hint="eastAsia" w:ascii="仿宋_GB2312" w:hAnsi="仿宋_GB2312" w:eastAsia="仿宋_GB2312" w:cs="仿宋_GB2312"/>
          <w:color w:val="auto"/>
          <w:w w:val="99"/>
          <w:sz w:val="32"/>
          <w:szCs w:val="32"/>
          <w:highlight w:val="none"/>
          <w:lang w:val="en-US" w:eastAsia="zh-CN"/>
        </w:rPr>
        <w:t>四</w:t>
      </w:r>
      <w:r>
        <w:rPr>
          <w:rFonts w:hint="eastAsia" w:ascii="仿宋_GB2312" w:hAnsi="仿宋_GB2312" w:eastAsia="仿宋_GB2312" w:cs="仿宋_GB2312"/>
          <w:color w:val="auto"/>
          <w:w w:val="99"/>
          <w:sz w:val="32"/>
          <w:szCs w:val="32"/>
          <w:highlight w:val="none"/>
        </w:rPr>
        <w:t>）申报网点需实行“统一标识、统一经营、统一价格、统一服务质量”。</w:t>
      </w:r>
    </w:p>
    <w:p w14:paraId="2A87C917">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）申报网点早餐经营品种需不低于15种（拉面、西式早餐除外）,就餐面积不低于60平方米,早餐经营时间不低于2小时，且涵盖早6:30至8:30时段，购物中心内申报网点早餐售卖时间不晚于早7:30。</w:t>
      </w:r>
    </w:p>
    <w:p w14:paraId="57138E38">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hAnsi="仿宋_GB2312" w:eastAsia="仿宋_GB2312" w:cs="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六</w:t>
      </w:r>
      <w:r>
        <w:rPr>
          <w:rFonts w:hint="eastAsia" w:ascii="仿宋_GB2312" w:eastAsia="仿宋_GB2312"/>
          <w:color w:val="auto"/>
          <w:sz w:val="32"/>
          <w:szCs w:val="32"/>
          <w:highlight w:val="none"/>
        </w:rPr>
        <w:t>）</w:t>
      </w:r>
      <w:r>
        <w:rPr>
          <w:rFonts w:hint="eastAsia" w:ascii="仿宋_GB2312" w:hAnsi="仿宋_GB2312" w:eastAsia="仿宋_GB2312" w:cs="仿宋_GB2312"/>
          <w:color w:val="auto"/>
          <w:sz w:val="32"/>
          <w:szCs w:val="32"/>
          <w:highlight w:val="none"/>
        </w:rPr>
        <w:t>新建和规范提升网点应重点参照《生活性服务行业行业标准规范汇编之二--餐饮行业》、《北京市早餐经营示范店规范（试行）》（京商务运行字〔2010〕35号）关于早餐的经营规范。</w:t>
      </w:r>
    </w:p>
    <w:p w14:paraId="441642D3">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七</w:t>
      </w:r>
      <w:r>
        <w:rPr>
          <w:rFonts w:hint="eastAsia" w:ascii="仿宋_GB2312" w:eastAsia="仿宋_GB2312"/>
          <w:color w:val="auto"/>
          <w:sz w:val="32"/>
          <w:szCs w:val="32"/>
          <w:highlight w:val="none"/>
        </w:rPr>
        <w:t>）申报网点应做好经营场所内部蚊、蝇、鼠、蟑螂等病媒生物的防控工作，严格遵守卫生、食药等部门管理要求，配合做好各项相关工作。</w:t>
      </w:r>
    </w:p>
    <w:p w14:paraId="61913F58">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eastAsia="仿宋_GB2312"/>
          <w:color w:val="auto"/>
          <w:sz w:val="32"/>
          <w:szCs w:val="32"/>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八</w:t>
      </w:r>
      <w:r>
        <w:rPr>
          <w:rFonts w:hint="eastAsia" w:ascii="仿宋_GB2312" w:hAnsi="仿宋" w:eastAsia="仿宋_GB2312"/>
          <w:color w:val="auto"/>
          <w:sz w:val="32"/>
          <w:szCs w:val="32"/>
          <w:highlight w:val="none"/>
        </w:rPr>
        <w:t>）</w:t>
      </w:r>
      <w:r>
        <w:rPr>
          <w:rFonts w:hint="eastAsia" w:ascii="仿宋_GB2312" w:eastAsia="仿宋_GB2312"/>
          <w:color w:val="auto"/>
          <w:sz w:val="32"/>
          <w:szCs w:val="32"/>
          <w:highlight w:val="none"/>
        </w:rPr>
        <w:t>申报网点应严格落实《北京市控制吸烟条例》相关要求，做好经营场所内部控烟工作，营造无烟服务环境。</w:t>
      </w:r>
    </w:p>
    <w:p w14:paraId="45474F02">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eastAsia="仿宋_GB2312"/>
          <w:color w:val="auto"/>
          <w:sz w:val="32"/>
          <w:szCs w:val="32"/>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九</w:t>
      </w:r>
      <w:r>
        <w:rPr>
          <w:rFonts w:hint="eastAsia" w:ascii="仿宋_GB2312" w:hAnsi="仿宋" w:eastAsia="仿宋_GB2312"/>
          <w:color w:val="auto"/>
          <w:sz w:val="32"/>
          <w:szCs w:val="32"/>
          <w:highlight w:val="none"/>
        </w:rPr>
        <w:t>）鼓励</w:t>
      </w:r>
      <w:r>
        <w:rPr>
          <w:rFonts w:hint="eastAsia" w:ascii="仿宋_GB2312" w:eastAsia="仿宋_GB2312"/>
          <w:color w:val="auto"/>
          <w:sz w:val="32"/>
          <w:szCs w:val="32"/>
          <w:highlight w:val="none"/>
        </w:rPr>
        <w:t>申报网点应</w:t>
      </w:r>
      <w:r>
        <w:rPr>
          <w:rFonts w:ascii="仿宋_GB2312" w:eastAsia="仿宋_GB2312"/>
          <w:color w:val="auto"/>
          <w:sz w:val="32"/>
          <w:szCs w:val="32"/>
          <w:highlight w:val="none"/>
        </w:rPr>
        <w:t>采用电力、天</w:t>
      </w:r>
      <w:r>
        <w:rPr>
          <w:rFonts w:hint="eastAsia" w:ascii="仿宋_GB2312" w:eastAsia="仿宋_GB2312"/>
          <w:color w:val="auto"/>
          <w:sz w:val="32"/>
          <w:szCs w:val="32"/>
          <w:highlight w:val="none"/>
        </w:rPr>
        <w:t>然</w:t>
      </w:r>
      <w:r>
        <w:rPr>
          <w:rFonts w:ascii="仿宋_GB2312" w:eastAsia="仿宋_GB2312"/>
          <w:color w:val="auto"/>
          <w:sz w:val="32"/>
          <w:szCs w:val="32"/>
          <w:highlight w:val="none"/>
        </w:rPr>
        <w:t>气等清洁能源</w:t>
      </w:r>
      <w:r>
        <w:rPr>
          <w:rFonts w:hint="eastAsia" w:ascii="仿宋_GB2312" w:eastAsia="仿宋_GB2312"/>
          <w:color w:val="auto"/>
          <w:sz w:val="32"/>
          <w:szCs w:val="32"/>
          <w:highlight w:val="none"/>
        </w:rPr>
        <w:t>和高效油烟净化设施进行生产经营。</w:t>
      </w:r>
    </w:p>
    <w:p w14:paraId="15DEA39B">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十</w:t>
      </w:r>
      <w:r>
        <w:rPr>
          <w:rFonts w:hint="eastAsia" w:ascii="仿宋_GB2312" w:hAnsi="仿宋" w:eastAsia="仿宋_GB2312"/>
          <w:color w:val="auto"/>
          <w:sz w:val="32"/>
          <w:szCs w:val="32"/>
          <w:highlight w:val="none"/>
        </w:rPr>
        <w:t>）</w:t>
      </w:r>
      <w:r>
        <w:rPr>
          <w:rFonts w:hint="eastAsia" w:ascii="仿宋_GB2312" w:eastAsia="仿宋_GB2312"/>
          <w:color w:val="auto"/>
          <w:sz w:val="32"/>
          <w:szCs w:val="32"/>
          <w:highlight w:val="none"/>
        </w:rPr>
        <w:t>鼓励申报网点积极探索</w:t>
      </w:r>
      <w:r>
        <w:rPr>
          <w:rFonts w:ascii="仿宋_GB2312" w:hAnsi="仿宋" w:eastAsia="仿宋_GB2312"/>
          <w:color w:val="auto"/>
          <w:sz w:val="32"/>
          <w:szCs w:val="32"/>
          <w:highlight w:val="none"/>
        </w:rPr>
        <w:t>符合老年膳食营养标准的早餐品种，配合</w:t>
      </w:r>
      <w:r>
        <w:rPr>
          <w:rFonts w:hint="eastAsia" w:ascii="仿宋_GB2312" w:hAnsi="仿宋" w:eastAsia="仿宋_GB2312"/>
          <w:color w:val="auto"/>
          <w:sz w:val="32"/>
          <w:szCs w:val="32"/>
          <w:highlight w:val="none"/>
        </w:rPr>
        <w:t>所属镇人民政府（街道办事处）建设</w:t>
      </w:r>
      <w:r>
        <w:rPr>
          <w:rFonts w:ascii="仿宋_GB2312" w:hAnsi="仿宋" w:eastAsia="仿宋_GB2312"/>
          <w:color w:val="auto"/>
          <w:sz w:val="32"/>
          <w:szCs w:val="32"/>
          <w:highlight w:val="none"/>
        </w:rPr>
        <w:t>老年人送（就）餐点、养老服务驿站</w:t>
      </w:r>
      <w:r>
        <w:rPr>
          <w:rFonts w:hint="eastAsia" w:ascii="仿宋_GB2312" w:hAnsi="仿宋" w:eastAsia="仿宋_GB2312"/>
          <w:color w:val="auto"/>
          <w:sz w:val="32"/>
          <w:szCs w:val="32"/>
          <w:highlight w:val="none"/>
        </w:rPr>
        <w:t>、</w:t>
      </w:r>
      <w:r>
        <w:rPr>
          <w:rFonts w:ascii="仿宋_GB2312" w:hAnsi="仿宋" w:eastAsia="仿宋_GB2312"/>
          <w:color w:val="auto"/>
          <w:sz w:val="32"/>
          <w:szCs w:val="32"/>
          <w:highlight w:val="none"/>
        </w:rPr>
        <w:t>老年人食堂</w:t>
      </w:r>
      <w:r>
        <w:rPr>
          <w:rFonts w:hint="eastAsia" w:ascii="仿宋_GB2312" w:hAnsi="仿宋" w:eastAsia="仿宋_GB2312"/>
          <w:color w:val="auto"/>
          <w:sz w:val="32"/>
          <w:szCs w:val="32"/>
          <w:highlight w:val="none"/>
        </w:rPr>
        <w:t>等</w:t>
      </w:r>
      <w:r>
        <w:rPr>
          <w:rFonts w:ascii="仿宋_GB2312" w:hAnsi="仿宋" w:eastAsia="仿宋_GB2312"/>
          <w:color w:val="auto"/>
          <w:sz w:val="32"/>
          <w:szCs w:val="32"/>
          <w:highlight w:val="none"/>
        </w:rPr>
        <w:t>，满足老年人用餐需求。</w:t>
      </w:r>
    </w:p>
    <w:p w14:paraId="6CE868FB">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hAnsi="仿宋" w:eastAsia="仿宋_GB2312"/>
          <w:color w:val="auto"/>
          <w:sz w:val="32"/>
          <w:szCs w:val="32"/>
          <w:highlight w:val="none"/>
        </w:rPr>
      </w:pPr>
      <w:r>
        <w:rPr>
          <w:rFonts w:hint="eastAsia" w:ascii="仿宋_GB2312" w:eastAsia="仿宋_GB2312"/>
          <w:color w:val="auto"/>
          <w:sz w:val="32"/>
          <w:szCs w:val="32"/>
          <w:highlight w:val="none"/>
        </w:rPr>
        <w:t>（十</w:t>
      </w:r>
      <w:r>
        <w:rPr>
          <w:rFonts w:hint="eastAsia" w:ascii="仿宋_GB2312" w:eastAsia="仿宋_GB2312"/>
          <w:color w:val="auto"/>
          <w:sz w:val="32"/>
          <w:szCs w:val="32"/>
          <w:highlight w:val="none"/>
          <w:lang w:val="en-US" w:eastAsia="zh-CN"/>
        </w:rPr>
        <w:t>一</w:t>
      </w:r>
      <w:r>
        <w:rPr>
          <w:rFonts w:hint="eastAsia" w:ascii="仿宋_GB2312" w:eastAsia="仿宋_GB2312"/>
          <w:color w:val="auto"/>
          <w:sz w:val="32"/>
          <w:szCs w:val="32"/>
          <w:highlight w:val="none"/>
        </w:rPr>
        <w:t>）申报网点应在优化智能服务方式的同时，充分考虑老年群体的特殊性，应保留传统面对面人工服务和现金支付方式，有效解决老年人无法使用智能技术获取线上服务的困难。同时，鼓励搭载助老服务，开辟老年人绿色通道及专门服务，保障老年顾客消费权益。</w:t>
      </w:r>
    </w:p>
    <w:p w14:paraId="597D0050">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hAnsi="仿宋" w:eastAsia="仿宋_GB2312"/>
          <w:color w:val="auto"/>
          <w:sz w:val="32"/>
          <w:szCs w:val="32"/>
          <w:highlight w:val="none"/>
        </w:rPr>
      </w:pPr>
      <w:r>
        <w:rPr>
          <w:rFonts w:hint="eastAsia" w:ascii="仿宋_GB2312" w:eastAsia="仿宋_GB2312"/>
          <w:color w:val="auto"/>
          <w:sz w:val="32"/>
          <w:szCs w:val="32"/>
          <w:highlight w:val="none"/>
        </w:rPr>
        <w:t>（十</w:t>
      </w:r>
      <w:r>
        <w:rPr>
          <w:rFonts w:hint="eastAsia" w:ascii="仿宋_GB2312" w:eastAsia="仿宋_GB2312"/>
          <w:color w:val="auto"/>
          <w:sz w:val="32"/>
          <w:szCs w:val="32"/>
          <w:highlight w:val="none"/>
          <w:lang w:val="en-US" w:eastAsia="zh-CN"/>
        </w:rPr>
        <w:t>二</w:t>
      </w:r>
      <w:r>
        <w:rPr>
          <w:rFonts w:hint="eastAsia" w:ascii="仿宋_GB2312" w:eastAsia="仿宋_GB2312"/>
          <w:color w:val="auto"/>
          <w:sz w:val="32"/>
          <w:szCs w:val="32"/>
          <w:highlight w:val="none"/>
        </w:rPr>
        <w:t>）申报</w:t>
      </w:r>
      <w:r>
        <w:rPr>
          <w:rFonts w:hint="eastAsia" w:ascii="仿宋_GB2312" w:hAnsi="仿宋" w:eastAsia="仿宋_GB2312"/>
          <w:color w:val="auto"/>
          <w:sz w:val="32"/>
          <w:szCs w:val="32"/>
          <w:highlight w:val="none"/>
        </w:rPr>
        <w:t>网点应积极参与</w:t>
      </w:r>
      <w:r>
        <w:rPr>
          <w:rFonts w:hint="eastAsia" w:ascii="仿宋_GB2312" w:hAnsi="华文中宋" w:eastAsia="仿宋_GB2312"/>
          <w:color w:val="auto"/>
          <w:sz w:val="32"/>
          <w:szCs w:val="32"/>
          <w:highlight w:val="none"/>
        </w:rPr>
        <w:t>“一刻钟社区服务圈”建设</w:t>
      </w:r>
      <w:r>
        <w:rPr>
          <w:rFonts w:hint="eastAsia" w:ascii="仿宋_GB2312" w:hAnsi="仿宋" w:eastAsia="仿宋_GB2312"/>
          <w:color w:val="auto"/>
          <w:sz w:val="32"/>
          <w:szCs w:val="32"/>
          <w:highlight w:val="none"/>
        </w:rPr>
        <w:t>，鼓励搭载相关社区便民商业服务，配合所属镇人民政府（街道办事处）做好社区服务。</w:t>
      </w:r>
    </w:p>
    <w:p w14:paraId="20E11A6D">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三、支持方式</w:t>
      </w:r>
    </w:p>
    <w:p w14:paraId="6BF1E1BB">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经第三方评审机构审定后，以财政补贴方式给予支持。</w:t>
      </w:r>
    </w:p>
    <w:p w14:paraId="61330C2B">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baseline"/>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四、</w:t>
      </w:r>
      <w:r>
        <w:rPr>
          <w:rFonts w:hint="eastAsia" w:ascii="黑体" w:hAnsi="黑体" w:eastAsia="黑体" w:cs="黑体"/>
          <w:color w:val="auto"/>
          <w:sz w:val="32"/>
          <w:szCs w:val="32"/>
          <w:highlight w:val="none"/>
        </w:rPr>
        <w:t>支持标准</w:t>
      </w:r>
    </w:p>
    <w:p w14:paraId="33A0133E">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申报202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年度补贴政策的网点，按不超过各项投资审定投资额的50%标准给予支持。</w:t>
      </w:r>
    </w:p>
    <w:p w14:paraId="4CC9111F">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楷体" w:hAnsi="楷体" w:eastAsia="楷体" w:cs="楷体"/>
          <w:color w:val="auto"/>
          <w:sz w:val="32"/>
          <w:szCs w:val="32"/>
          <w:highlight w:val="none"/>
        </w:rPr>
      </w:pPr>
      <w:r>
        <w:rPr>
          <w:rFonts w:hint="eastAsia" w:ascii="楷体_GB2312" w:hAnsi="楷体_GB2312" w:eastAsia="楷体_GB2312" w:cs="楷体_GB2312"/>
          <w:color w:val="auto"/>
          <w:sz w:val="32"/>
          <w:szCs w:val="32"/>
          <w:highlight w:val="none"/>
        </w:rPr>
        <w:t>（一）新建便民早餐网点资金补助</w:t>
      </w:r>
    </w:p>
    <w:p w14:paraId="026BF9EC">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单个网点可申请店面装修、硬软件设备购置的补贴资金额度最高不超过</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万元。</w:t>
      </w:r>
    </w:p>
    <w:p w14:paraId="3E5529DD">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楷体" w:hAnsi="楷体" w:eastAsia="楷体" w:cs="楷体"/>
          <w:color w:val="auto"/>
          <w:sz w:val="32"/>
          <w:szCs w:val="32"/>
          <w:highlight w:val="none"/>
        </w:rPr>
      </w:pPr>
      <w:r>
        <w:rPr>
          <w:rFonts w:hint="eastAsia" w:ascii="楷体_GB2312" w:hAnsi="楷体_GB2312" w:eastAsia="楷体_GB2312" w:cs="楷体_GB2312"/>
          <w:color w:val="auto"/>
          <w:sz w:val="32"/>
          <w:szCs w:val="32"/>
          <w:highlight w:val="none"/>
        </w:rPr>
        <w:t>（二）规范提升便民早餐网点资金补助</w:t>
      </w:r>
    </w:p>
    <w:p w14:paraId="1A523F5C">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黑体" w:hAnsi="黑体" w:eastAsia="黑体" w:cs="黑体"/>
          <w:color w:val="auto"/>
          <w:sz w:val="36"/>
          <w:szCs w:val="36"/>
          <w:highlight w:val="none"/>
        </w:rPr>
      </w:pPr>
      <w:r>
        <w:rPr>
          <w:rFonts w:hint="eastAsia" w:ascii="仿宋_GB2312" w:hAnsi="仿宋_GB2312" w:eastAsia="仿宋_GB2312" w:cs="仿宋_GB2312"/>
          <w:color w:val="auto"/>
          <w:sz w:val="32"/>
          <w:szCs w:val="32"/>
          <w:highlight w:val="none"/>
        </w:rPr>
        <w:t>单个网点可申请店面装修、硬软件设备购置的补贴资金额度最高不超过15万元。</w:t>
      </w:r>
    </w:p>
    <w:p w14:paraId="67CA32A4">
      <w:pPr>
        <w:keepNext w:val="0"/>
        <w:keepLines w:val="0"/>
        <w:pageBreakBefore w:val="0"/>
        <w:kinsoku/>
        <w:overflowPunct/>
        <w:topLinePunct w:val="0"/>
        <w:autoSpaceDE/>
        <w:autoSpaceDN/>
        <w:bidi w:val="0"/>
        <w:adjustRightInd/>
        <w:snapToGrid/>
        <w:spacing w:line="560" w:lineRule="exact"/>
        <w:jc w:val="center"/>
        <w:textAlignment w:val="baseline"/>
        <w:rPr>
          <w:rFonts w:ascii="黑体" w:hAnsi="黑体" w:eastAsia="黑体" w:cs="黑体"/>
          <w:color w:val="auto"/>
          <w:sz w:val="36"/>
          <w:szCs w:val="36"/>
          <w:highlight w:val="none"/>
        </w:rPr>
      </w:pPr>
    </w:p>
    <w:p w14:paraId="3B9306F9">
      <w:pPr>
        <w:keepNext w:val="0"/>
        <w:keepLines w:val="0"/>
        <w:pageBreakBefore w:val="0"/>
        <w:kinsoku/>
        <w:overflowPunct/>
        <w:topLinePunct w:val="0"/>
        <w:autoSpaceDE/>
        <w:autoSpaceDN/>
        <w:bidi w:val="0"/>
        <w:adjustRightInd/>
        <w:snapToGrid/>
        <w:spacing w:line="560" w:lineRule="exact"/>
        <w:jc w:val="center"/>
        <w:textAlignment w:val="baseline"/>
        <w:rPr>
          <w:rFonts w:ascii="黑体" w:hAnsi="黑体" w:eastAsia="黑体" w:cs="黑体"/>
          <w:color w:val="auto"/>
          <w:sz w:val="36"/>
          <w:szCs w:val="36"/>
          <w:highlight w:val="yellow"/>
        </w:rPr>
      </w:pPr>
      <w:r>
        <w:rPr>
          <w:rFonts w:hint="eastAsia" w:ascii="黑体" w:hAnsi="黑体" w:eastAsia="黑体" w:cs="黑体"/>
          <w:color w:val="auto"/>
          <w:sz w:val="36"/>
          <w:szCs w:val="36"/>
          <w:highlight w:val="none"/>
        </w:rPr>
        <w:t xml:space="preserve"> 第</w:t>
      </w:r>
      <w:r>
        <w:rPr>
          <w:rFonts w:hint="eastAsia" w:ascii="黑体" w:hAnsi="黑体" w:eastAsia="黑体" w:cs="黑体"/>
          <w:color w:val="auto"/>
          <w:sz w:val="36"/>
          <w:szCs w:val="36"/>
          <w:highlight w:val="none"/>
          <w:lang w:eastAsia="zh-CN"/>
        </w:rPr>
        <w:t>四</w:t>
      </w:r>
      <w:r>
        <w:rPr>
          <w:rFonts w:hint="eastAsia" w:ascii="黑体" w:hAnsi="黑体" w:eastAsia="黑体" w:cs="黑体"/>
          <w:color w:val="auto"/>
          <w:sz w:val="36"/>
          <w:szCs w:val="36"/>
          <w:highlight w:val="none"/>
        </w:rPr>
        <w:t>章  新建和规范提升便利店（社区超市）</w:t>
      </w:r>
    </w:p>
    <w:p w14:paraId="11B7C229">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一、支持内容</w:t>
      </w:r>
    </w:p>
    <w:p w14:paraId="2A3BD7AD">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（一）新建便利店（社区超市）网点</w:t>
      </w:r>
    </w:p>
    <w:p w14:paraId="171D65AB">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年1月1日以来新建的连锁直营便利店（社区超市）（不含厢式），在网点店面装修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硬软件设备购置等方面的支出，可</w:t>
      </w:r>
      <w:r>
        <w:rPr>
          <w:rFonts w:hint="eastAsia" w:ascii="仿宋_GB2312" w:hAnsi="仿宋_GB2312" w:eastAsia="仿宋_GB2312" w:cs="仿宋_GB2312"/>
          <w:color w:val="auto"/>
          <w:sz w:val="32"/>
          <w:szCs w:val="32"/>
          <w:highlight w:val="none"/>
          <w:lang w:val="en-US" w:eastAsia="zh-CN"/>
        </w:rPr>
        <w:t>按照</w:t>
      </w:r>
      <w:r>
        <w:rPr>
          <w:rFonts w:hint="eastAsia" w:ascii="仿宋_GB2312" w:hAnsi="仿宋_GB2312" w:eastAsia="仿宋_GB2312" w:cs="仿宋_GB2312"/>
          <w:color w:val="auto"/>
          <w:sz w:val="32"/>
          <w:szCs w:val="32"/>
          <w:highlight w:val="none"/>
        </w:rPr>
        <w:t>不超过审定投资额的50%给予支持，且不超过最高补贴额上限。</w:t>
      </w:r>
    </w:p>
    <w:p w14:paraId="517A49A1">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（二）规范提升便利店（社区超市）网点</w:t>
      </w:r>
    </w:p>
    <w:p w14:paraId="3D96E666">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黑体" w:hAnsi="黑体" w:eastAsia="黑体" w:cs="黑体"/>
          <w:color w:val="auto"/>
          <w:sz w:val="32"/>
          <w:szCs w:val="32"/>
          <w:highlight w:val="none"/>
        </w:rPr>
      </w:pPr>
      <w:r>
        <w:rPr>
          <w:rFonts w:hint="eastAsia" w:ascii="仿宋_GB2312" w:hAnsi="仿宋_GB2312" w:eastAsia="仿宋_GB2312" w:cs="仿宋_GB2312"/>
          <w:color w:val="auto"/>
          <w:sz w:val="32"/>
          <w:szCs w:val="32"/>
          <w:highlight w:val="none"/>
        </w:rPr>
        <w:t>对202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年1月1日以来规范提升的连锁直营便利店（社区超市）（不含厢式），在网点店面装修、硬软件设备购置等方面的支出，可</w:t>
      </w:r>
      <w:r>
        <w:rPr>
          <w:rFonts w:hint="eastAsia" w:ascii="仿宋_GB2312" w:hAnsi="仿宋_GB2312" w:eastAsia="仿宋_GB2312" w:cs="仿宋_GB2312"/>
          <w:color w:val="auto"/>
          <w:sz w:val="32"/>
          <w:szCs w:val="32"/>
          <w:highlight w:val="none"/>
          <w:lang w:val="en-US" w:eastAsia="zh-CN"/>
        </w:rPr>
        <w:t>按照</w:t>
      </w:r>
      <w:r>
        <w:rPr>
          <w:rFonts w:hint="eastAsia" w:ascii="仿宋_GB2312" w:hAnsi="仿宋_GB2312" w:eastAsia="仿宋_GB2312" w:cs="仿宋_GB2312"/>
          <w:color w:val="auto"/>
          <w:sz w:val="32"/>
          <w:szCs w:val="32"/>
          <w:highlight w:val="none"/>
        </w:rPr>
        <w:t>不超过审定投资额的50%给予支持，且不超过最高补贴额上限。</w:t>
      </w:r>
    </w:p>
    <w:p w14:paraId="190576A5">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val="en-US" w:eastAsia="zh-CN"/>
        </w:rPr>
        <w:t>三</w:t>
      </w: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eastAsia="zh-CN"/>
        </w:rPr>
        <w:t>新建</w:t>
      </w:r>
      <w:r>
        <w:rPr>
          <w:rFonts w:hint="eastAsia" w:ascii="楷体_GB2312" w:hAnsi="楷体_GB2312" w:eastAsia="楷体_GB2312" w:cs="楷体_GB2312"/>
          <w:color w:val="auto"/>
          <w:sz w:val="32"/>
          <w:szCs w:val="32"/>
          <w:highlight w:val="none"/>
          <w:lang w:val="en-US" w:eastAsia="zh-CN"/>
        </w:rPr>
        <w:t>连锁直营</w:t>
      </w:r>
      <w:r>
        <w:rPr>
          <w:rFonts w:hint="eastAsia" w:ascii="楷体_GB2312" w:hAnsi="楷体_GB2312" w:eastAsia="楷体_GB2312" w:cs="楷体_GB2312"/>
          <w:color w:val="auto"/>
          <w:sz w:val="32"/>
          <w:szCs w:val="32"/>
          <w:highlight w:val="none"/>
        </w:rPr>
        <w:t>便利店</w:t>
      </w:r>
      <w:r>
        <w:rPr>
          <w:rFonts w:hint="eastAsia" w:ascii="楷体_GB2312" w:hAnsi="楷体_GB2312" w:eastAsia="楷体_GB2312" w:cs="楷体_GB2312"/>
          <w:color w:val="auto"/>
          <w:sz w:val="32"/>
          <w:szCs w:val="32"/>
          <w:highlight w:val="none"/>
          <w:lang w:val="en-US" w:eastAsia="zh-CN"/>
        </w:rPr>
        <w:t>+文旅体博融合发展</w:t>
      </w:r>
    </w:p>
    <w:p w14:paraId="54796CA2">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黑体" w:hAnsi="黑体" w:eastAsia="黑体" w:cs="黑体"/>
          <w:color w:val="auto"/>
          <w:sz w:val="32"/>
          <w:szCs w:val="32"/>
          <w:highlight w:val="none"/>
        </w:rPr>
      </w:pPr>
      <w:r>
        <w:rPr>
          <w:rFonts w:hint="eastAsia" w:ascii="仿宋_GB2312" w:hAnsi="仿宋_GB2312" w:eastAsia="仿宋_GB2312" w:cs="仿宋_GB2312"/>
          <w:color w:val="auto"/>
          <w:sz w:val="32"/>
          <w:szCs w:val="32"/>
          <w:highlight w:val="none"/>
        </w:rPr>
        <w:t>对202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年1月1日以来</w:t>
      </w:r>
      <w:r>
        <w:rPr>
          <w:rFonts w:hint="eastAsia" w:ascii="仿宋_GB2312" w:hAnsi="仿宋_GB2312" w:eastAsia="仿宋_GB2312" w:cs="仿宋_GB2312"/>
          <w:color w:val="auto"/>
          <w:sz w:val="32"/>
          <w:szCs w:val="32"/>
          <w:highlight w:val="none"/>
          <w:lang w:eastAsia="zh-CN"/>
        </w:rPr>
        <w:t>，在区属公园、等级景区、公共体育场馆、演出场所、博物馆内等文旅场所内新建</w:t>
      </w:r>
      <w:r>
        <w:rPr>
          <w:rFonts w:hint="eastAsia" w:ascii="仿宋_GB2312" w:hAnsi="仿宋_GB2312" w:eastAsia="仿宋_GB2312" w:cs="仿宋_GB2312"/>
          <w:color w:val="auto"/>
          <w:sz w:val="32"/>
          <w:szCs w:val="32"/>
          <w:highlight w:val="none"/>
        </w:rPr>
        <w:t>的连锁直营便利店（不含厢式），在网点店面装修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硬软件设备购置等方面的支出，可</w:t>
      </w:r>
      <w:r>
        <w:rPr>
          <w:rFonts w:hint="eastAsia" w:ascii="仿宋_GB2312" w:hAnsi="仿宋_GB2312" w:eastAsia="仿宋_GB2312" w:cs="仿宋_GB2312"/>
          <w:color w:val="auto"/>
          <w:sz w:val="32"/>
          <w:szCs w:val="32"/>
          <w:highlight w:val="none"/>
          <w:lang w:val="en-US" w:eastAsia="zh-CN"/>
        </w:rPr>
        <w:t>按照</w:t>
      </w:r>
      <w:r>
        <w:rPr>
          <w:rFonts w:hint="eastAsia" w:ascii="仿宋_GB2312" w:hAnsi="仿宋_GB2312" w:eastAsia="仿宋_GB2312" w:cs="仿宋_GB2312"/>
          <w:color w:val="auto"/>
          <w:sz w:val="32"/>
          <w:szCs w:val="32"/>
          <w:highlight w:val="none"/>
        </w:rPr>
        <w:t>不超过审定投资额的50%给予支持，且不超过最高补贴额上限。</w:t>
      </w:r>
    </w:p>
    <w:p w14:paraId="540879A0">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二、支持条件</w:t>
      </w:r>
    </w:p>
    <w:p w14:paraId="79328E7F">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（一）申报主体需为在</w:t>
      </w:r>
      <w:r>
        <w:rPr>
          <w:rFonts w:hint="eastAsia" w:ascii="仿宋_GB2312" w:hAnsi="仿宋_GB2312" w:eastAsia="仿宋_GB2312" w:cs="仿宋_GB2312"/>
          <w:color w:val="auto"/>
          <w:sz w:val="32"/>
          <w:szCs w:val="32"/>
          <w:highlight w:val="none"/>
          <w:lang w:val="en-US" w:eastAsia="zh-CN"/>
        </w:rPr>
        <w:t>大兴区内合法经营</w:t>
      </w:r>
      <w:r>
        <w:rPr>
          <w:rFonts w:hint="eastAsia" w:ascii="仿宋_GB2312" w:hAnsi="仿宋_GB2312" w:eastAsia="仿宋_GB2312" w:cs="仿宋_GB2312"/>
          <w:color w:val="auto"/>
          <w:sz w:val="32"/>
          <w:szCs w:val="32"/>
          <w:highlight w:val="none"/>
        </w:rPr>
        <w:t>的具有食品流通资质的连锁直营企业，证照齐全，企业资信状况良好，近一年无不良行为记录，能较好地履行企业社会责任。</w:t>
      </w:r>
    </w:p>
    <w:p w14:paraId="7709410D">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（二）项目申报单位资金支付及发票开具时间在2024年1月1日（含）之后。且审定实际投资额不低于审定计划投资总额（符合支持方向的合同投资总额）的70%</w:t>
      </w:r>
      <w:r>
        <w:rPr>
          <w:rFonts w:hint="eastAsia" w:ascii="仿宋_GB2312" w:hAnsi="仿宋_GB2312" w:eastAsia="仿宋_GB2312" w:cs="仿宋_GB2312"/>
          <w:color w:val="auto"/>
          <w:sz w:val="32"/>
          <w:szCs w:val="32"/>
          <w:highlight w:val="none"/>
          <w:lang w:val="en-US" w:eastAsia="zh-CN"/>
        </w:rPr>
        <w:t>且超过5万元</w:t>
      </w:r>
      <w:r>
        <w:rPr>
          <w:rFonts w:hint="eastAsia" w:ascii="仿宋_GB2312" w:hAnsi="仿宋_GB2312" w:eastAsia="仿宋_GB2312" w:cs="仿宋_GB2312"/>
          <w:color w:val="auto"/>
          <w:sz w:val="32"/>
          <w:szCs w:val="32"/>
          <w:highlight w:val="none"/>
        </w:rPr>
        <w:t>。</w:t>
      </w:r>
    </w:p>
    <w:p w14:paraId="2C5871B2">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新建项目的营业执照注册日期在2024年1月1日（含）后，且已持续经营满6个月；升级改造的门店营业执照注册日期在2020年1月1日（不含）前，升级改造日期在2024年1月1日（含）后，且改造后已持续经营满3个月。</w:t>
      </w:r>
    </w:p>
    <w:p w14:paraId="338EC517">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）申报网点需实行“统一标识、统一经营、统一管理、统一价格、统一服务质量”。</w:t>
      </w:r>
    </w:p>
    <w:p w14:paraId="1C76550C">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申报网点需经营品种包含日常生活用品、预包装食品、散装食品(有QS许可证的各类即食食品)、饮料等，鼓励搭载蔬菜零售、早餐、针头线脑等服务，经营面积在30平方米至500平方米,营业时间为14小时至24小时，可提供售卖商品以外的有偿或无偿的便民服务项目。</w:t>
      </w:r>
    </w:p>
    <w:p w14:paraId="4F7CF7A8">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rPr>
        <w:t>）新建和规范提升网点建设应重点参照《生活性服务行业行业标准规范汇编之三--便利店（超市）行业》有关规范。</w:t>
      </w:r>
    </w:p>
    <w:p w14:paraId="0B1B0285">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七</w:t>
      </w:r>
      <w:r>
        <w:rPr>
          <w:rFonts w:hint="eastAsia" w:ascii="仿宋_GB2312" w:hAnsi="仿宋_GB2312" w:eastAsia="仿宋_GB2312" w:cs="仿宋_GB2312"/>
          <w:color w:val="auto"/>
          <w:sz w:val="32"/>
          <w:szCs w:val="32"/>
          <w:highlight w:val="none"/>
        </w:rPr>
        <w:t>）申报网点应做好经营场所内部蚊、蝇、鼠、蟑螂等病媒生物的防控工作，严格遵守卫生、食药等部门管理要求，配合做好各项相关工作。</w:t>
      </w:r>
    </w:p>
    <w:p w14:paraId="3BAA82E7">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八</w:t>
      </w:r>
      <w:r>
        <w:rPr>
          <w:rFonts w:hint="eastAsia" w:ascii="仿宋_GB2312" w:hAnsi="仿宋_GB2312" w:eastAsia="仿宋_GB2312" w:cs="仿宋_GB2312"/>
          <w:color w:val="auto"/>
          <w:sz w:val="32"/>
          <w:szCs w:val="32"/>
          <w:highlight w:val="none"/>
        </w:rPr>
        <w:t>）申报网点应严格落实《北京市控制吸烟条例》相关要求，做好经营场所内部控烟工作，营造无烟服务环境。</w:t>
      </w:r>
    </w:p>
    <w:p w14:paraId="45BFEEFE">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九</w:t>
      </w:r>
      <w:r>
        <w:rPr>
          <w:rFonts w:hint="eastAsia" w:ascii="仿宋_GB2312" w:hAnsi="仿宋_GB2312" w:eastAsia="仿宋_GB2312" w:cs="仿宋_GB2312"/>
          <w:color w:val="auto"/>
          <w:sz w:val="32"/>
          <w:szCs w:val="32"/>
          <w:highlight w:val="none"/>
        </w:rPr>
        <w:t>）申报网点应积极参与“一刻钟社区服务圈”建设，鼓励搭载相关社区便民商业服务，配合所属镇人民政府（街道办事处）做好社区服务。</w:t>
      </w:r>
    </w:p>
    <w:p w14:paraId="0A367485">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hAnsi="仿宋_GB2312" w:eastAsia="仿宋_GB2312" w:cs="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十</w:t>
      </w:r>
      <w:r>
        <w:rPr>
          <w:rFonts w:hint="eastAsia" w:ascii="仿宋_GB2312" w:eastAsia="仿宋_GB2312"/>
          <w:color w:val="auto"/>
          <w:sz w:val="32"/>
          <w:szCs w:val="32"/>
          <w:highlight w:val="none"/>
        </w:rPr>
        <w:t>）申报网点应在优化智能服务方式的同时，充分考虑老年群体的特殊性，应保留传统面对面人工服务和现金支付方式，有效解决老年人无法使用智能技术获取线上服务的困难。同时，鼓励搭载助老服务，开辟老年人绿色通道及专门服务，保障老年顾客消费权益。</w:t>
      </w:r>
    </w:p>
    <w:p w14:paraId="4B300DD5">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三、支持方式</w:t>
      </w:r>
    </w:p>
    <w:p w14:paraId="1231C141">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经第三方评审机构审定后，以财政补贴方式给予支持。</w:t>
      </w:r>
    </w:p>
    <w:p w14:paraId="43E96D5A">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baseline"/>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四、</w:t>
      </w:r>
      <w:r>
        <w:rPr>
          <w:rFonts w:hint="eastAsia" w:ascii="黑体" w:hAnsi="黑体" w:eastAsia="黑体" w:cs="黑体"/>
          <w:color w:val="auto"/>
          <w:sz w:val="32"/>
          <w:szCs w:val="32"/>
          <w:highlight w:val="none"/>
        </w:rPr>
        <w:t>支持标准</w:t>
      </w:r>
    </w:p>
    <w:p w14:paraId="39F3F7DA">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黑体" w:hAnsi="黑体" w:eastAsia="黑体" w:cs="黑体"/>
          <w:color w:val="auto"/>
          <w:sz w:val="32"/>
          <w:szCs w:val="32"/>
          <w:highlight w:val="none"/>
        </w:rPr>
      </w:pPr>
      <w:r>
        <w:rPr>
          <w:rFonts w:hint="eastAsia" w:ascii="仿宋_GB2312" w:hAnsi="仿宋_GB2312" w:eastAsia="仿宋_GB2312" w:cs="仿宋_GB2312"/>
          <w:color w:val="auto"/>
          <w:sz w:val="32"/>
          <w:szCs w:val="32"/>
          <w:highlight w:val="none"/>
        </w:rPr>
        <w:t>申报202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年度补贴政策的网点，按不超过各项投资审定投资额的50%标准给予支持。</w:t>
      </w:r>
    </w:p>
    <w:p w14:paraId="2A86716D">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楷体" w:hAnsi="楷体" w:eastAsia="楷体" w:cs="楷体"/>
          <w:color w:val="auto"/>
          <w:sz w:val="32"/>
          <w:szCs w:val="32"/>
          <w:highlight w:val="none"/>
        </w:rPr>
      </w:pPr>
      <w:r>
        <w:rPr>
          <w:rFonts w:hint="eastAsia" w:ascii="楷体_GB2312" w:hAnsi="楷体_GB2312" w:eastAsia="楷体_GB2312" w:cs="楷体_GB2312"/>
          <w:color w:val="auto"/>
          <w:sz w:val="32"/>
          <w:szCs w:val="32"/>
          <w:highlight w:val="none"/>
        </w:rPr>
        <w:t>（一）新建便利店（社区超市）资金补助</w:t>
      </w:r>
    </w:p>
    <w:p w14:paraId="046B314E">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单个网点可申请店面装修、硬软件设备购置的补贴资金额度最高不超过</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万元。</w:t>
      </w:r>
    </w:p>
    <w:p w14:paraId="6FAD7D80">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（二）规范提升便利店（社区超市）资金补助</w:t>
      </w:r>
    </w:p>
    <w:p w14:paraId="30B68379">
      <w:pPr>
        <w:keepNext w:val="0"/>
        <w:keepLines w:val="0"/>
        <w:pageBreakBefore w:val="0"/>
        <w:widowControl/>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单个网点可申请店面装修、硬软件设备购置的补贴资金额度最高不超过10万元。</w:t>
      </w:r>
    </w:p>
    <w:p w14:paraId="59DEB9F0">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楷体_GB2312" w:hAnsi="楷体_GB2312" w:eastAsia="楷体_GB2312" w:cs="楷体_GB2312"/>
          <w:color w:val="auto"/>
          <w:sz w:val="32"/>
          <w:szCs w:val="32"/>
          <w:highlight w:val="none"/>
          <w:u w:val="none"/>
        </w:rPr>
      </w:pPr>
      <w:r>
        <w:rPr>
          <w:rFonts w:hint="eastAsia" w:ascii="楷体_GB2312" w:hAnsi="楷体_GB2312" w:eastAsia="楷体_GB2312" w:cs="楷体_GB2312"/>
          <w:color w:val="auto"/>
          <w:sz w:val="32"/>
          <w:szCs w:val="32"/>
          <w:highlight w:val="none"/>
          <w:u w:val="none"/>
        </w:rPr>
        <w:t>（</w:t>
      </w:r>
      <w:r>
        <w:rPr>
          <w:rFonts w:hint="eastAsia" w:ascii="楷体_GB2312" w:hAnsi="楷体_GB2312" w:eastAsia="楷体_GB2312" w:cs="楷体_GB2312"/>
          <w:color w:val="auto"/>
          <w:sz w:val="32"/>
          <w:szCs w:val="32"/>
          <w:highlight w:val="none"/>
          <w:u w:val="none"/>
          <w:lang w:val="en-US" w:eastAsia="zh-CN"/>
        </w:rPr>
        <w:t>三</w:t>
      </w:r>
      <w:r>
        <w:rPr>
          <w:rFonts w:hint="eastAsia" w:ascii="楷体_GB2312" w:hAnsi="楷体_GB2312" w:eastAsia="楷体_GB2312" w:cs="楷体_GB2312"/>
          <w:color w:val="auto"/>
          <w:sz w:val="32"/>
          <w:szCs w:val="32"/>
          <w:highlight w:val="none"/>
          <w:u w:val="none"/>
        </w:rPr>
        <w:t>）</w:t>
      </w:r>
      <w:r>
        <w:rPr>
          <w:rFonts w:hint="eastAsia" w:ascii="楷体_GB2312" w:hAnsi="楷体_GB2312" w:eastAsia="楷体_GB2312" w:cs="楷体_GB2312"/>
          <w:color w:val="auto"/>
          <w:sz w:val="32"/>
          <w:szCs w:val="32"/>
          <w:highlight w:val="none"/>
          <w:u w:val="none"/>
          <w:lang w:eastAsia="zh-CN"/>
        </w:rPr>
        <w:t>新建</w:t>
      </w:r>
      <w:r>
        <w:rPr>
          <w:rFonts w:hint="eastAsia" w:ascii="楷体_GB2312" w:hAnsi="楷体_GB2312" w:eastAsia="楷体_GB2312" w:cs="楷体_GB2312"/>
          <w:color w:val="auto"/>
          <w:sz w:val="32"/>
          <w:szCs w:val="32"/>
          <w:highlight w:val="none"/>
          <w:u w:val="none"/>
          <w:lang w:val="en-US" w:eastAsia="zh-CN"/>
        </w:rPr>
        <w:t>连锁直营</w:t>
      </w:r>
      <w:r>
        <w:rPr>
          <w:rFonts w:hint="eastAsia" w:ascii="楷体_GB2312" w:hAnsi="楷体_GB2312" w:eastAsia="楷体_GB2312" w:cs="楷体_GB2312"/>
          <w:color w:val="auto"/>
          <w:sz w:val="32"/>
          <w:szCs w:val="32"/>
          <w:highlight w:val="none"/>
          <w:u w:val="none"/>
        </w:rPr>
        <w:t>便利店</w:t>
      </w:r>
      <w:r>
        <w:rPr>
          <w:rFonts w:hint="eastAsia" w:ascii="楷体_GB2312" w:hAnsi="楷体_GB2312" w:eastAsia="楷体_GB2312" w:cs="楷体_GB2312"/>
          <w:color w:val="auto"/>
          <w:sz w:val="32"/>
          <w:szCs w:val="32"/>
          <w:highlight w:val="none"/>
          <w:u w:val="none"/>
          <w:lang w:val="en-US" w:eastAsia="zh-CN"/>
        </w:rPr>
        <w:t>+文旅体博融合发展</w:t>
      </w:r>
    </w:p>
    <w:p w14:paraId="4F099AA6">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单个网点可申请店面装修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硬软件设备购置的补贴资金额度最高不超过</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pacing w:val="-6"/>
          <w:sz w:val="32"/>
          <w:szCs w:val="32"/>
          <w:highlight w:val="none"/>
        </w:rPr>
        <w:t>。</w:t>
      </w:r>
    </w:p>
    <w:p w14:paraId="1CE7A550">
      <w:pPr>
        <w:keepNext w:val="0"/>
        <w:keepLines w:val="0"/>
        <w:pageBreakBefore w:val="0"/>
        <w:kinsoku/>
        <w:overflowPunct/>
        <w:topLinePunct w:val="0"/>
        <w:autoSpaceDE/>
        <w:autoSpaceDN/>
        <w:bidi w:val="0"/>
        <w:adjustRightInd/>
        <w:snapToGrid/>
        <w:spacing w:line="560" w:lineRule="exact"/>
        <w:jc w:val="both"/>
        <w:textAlignment w:val="baseline"/>
        <w:rPr>
          <w:rFonts w:ascii="黑体" w:hAnsi="黑体" w:eastAsia="黑体" w:cs="黑体"/>
          <w:color w:val="auto"/>
          <w:sz w:val="36"/>
          <w:szCs w:val="36"/>
          <w:highlight w:val="none"/>
        </w:rPr>
      </w:pPr>
    </w:p>
    <w:p w14:paraId="0F9136E6">
      <w:pPr>
        <w:keepNext w:val="0"/>
        <w:keepLines w:val="0"/>
        <w:pageBreakBefore w:val="0"/>
        <w:kinsoku/>
        <w:overflowPunct/>
        <w:topLinePunct w:val="0"/>
        <w:autoSpaceDE/>
        <w:autoSpaceDN/>
        <w:bidi w:val="0"/>
        <w:adjustRightInd/>
        <w:snapToGrid/>
        <w:spacing w:line="560" w:lineRule="exact"/>
        <w:jc w:val="center"/>
        <w:textAlignment w:val="baseline"/>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第</w:t>
      </w:r>
      <w:r>
        <w:rPr>
          <w:rFonts w:hint="eastAsia" w:ascii="黑体" w:hAnsi="黑体" w:eastAsia="黑体" w:cs="黑体"/>
          <w:color w:val="auto"/>
          <w:sz w:val="36"/>
          <w:szCs w:val="36"/>
          <w:highlight w:val="none"/>
          <w:lang w:eastAsia="zh-CN"/>
        </w:rPr>
        <w:t>五</w:t>
      </w:r>
      <w:r>
        <w:rPr>
          <w:rFonts w:hint="eastAsia" w:ascii="黑体" w:hAnsi="黑体" w:eastAsia="黑体" w:cs="黑体"/>
          <w:color w:val="auto"/>
          <w:sz w:val="36"/>
          <w:szCs w:val="36"/>
          <w:highlight w:val="none"/>
        </w:rPr>
        <w:t>章  新建和规范提升便民理发网点</w:t>
      </w:r>
    </w:p>
    <w:p w14:paraId="4B15C4C8">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一、支持内容</w:t>
      </w:r>
    </w:p>
    <w:p w14:paraId="17BE5E33">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（一）新建便民理发网点</w:t>
      </w:r>
    </w:p>
    <w:p w14:paraId="5FFE85DF">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年1月1日以来新建的连锁便民理发网点，在网点店面装修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硬软件设备购置等方面的支出，可</w:t>
      </w:r>
      <w:r>
        <w:rPr>
          <w:rFonts w:hint="eastAsia" w:ascii="仿宋_GB2312" w:hAnsi="仿宋_GB2312" w:eastAsia="仿宋_GB2312" w:cs="仿宋_GB2312"/>
          <w:color w:val="auto"/>
          <w:sz w:val="32"/>
          <w:szCs w:val="32"/>
          <w:highlight w:val="none"/>
          <w:lang w:val="en-US" w:eastAsia="zh-CN"/>
        </w:rPr>
        <w:t>按照</w:t>
      </w:r>
      <w:r>
        <w:rPr>
          <w:rFonts w:hint="eastAsia" w:ascii="仿宋_GB2312" w:hAnsi="仿宋_GB2312" w:eastAsia="仿宋_GB2312" w:cs="仿宋_GB2312"/>
          <w:color w:val="auto"/>
          <w:sz w:val="32"/>
          <w:szCs w:val="32"/>
          <w:highlight w:val="none"/>
        </w:rPr>
        <w:t>不超过审定投资额的50%给予支持，且不超过最高补贴额上限。</w:t>
      </w:r>
    </w:p>
    <w:p w14:paraId="5A1C4D6A">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（二）规范提升便民理发网点</w:t>
      </w:r>
    </w:p>
    <w:p w14:paraId="3D4DAFF7">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ascii="黑体" w:hAnsi="黑体" w:eastAsia="黑体" w:cs="黑体"/>
          <w:color w:val="auto"/>
          <w:sz w:val="32"/>
          <w:szCs w:val="32"/>
          <w:highlight w:val="none"/>
        </w:rPr>
      </w:pPr>
      <w:r>
        <w:rPr>
          <w:rFonts w:hint="eastAsia" w:ascii="仿宋_GB2312" w:hAnsi="仿宋_GB2312" w:eastAsia="仿宋_GB2312" w:cs="仿宋_GB2312"/>
          <w:color w:val="auto"/>
          <w:sz w:val="32"/>
          <w:szCs w:val="32"/>
          <w:highlight w:val="none"/>
        </w:rPr>
        <w:t>对202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年1月1日以来规范提升的连锁理发服务网点，在店面装修、硬软件设备购置等方面的支出，可</w:t>
      </w:r>
      <w:r>
        <w:rPr>
          <w:rFonts w:hint="eastAsia" w:ascii="仿宋_GB2312" w:hAnsi="仿宋_GB2312" w:eastAsia="仿宋_GB2312" w:cs="仿宋_GB2312"/>
          <w:color w:val="auto"/>
          <w:sz w:val="32"/>
          <w:szCs w:val="32"/>
          <w:highlight w:val="none"/>
          <w:lang w:val="en-US" w:eastAsia="zh-CN"/>
        </w:rPr>
        <w:t>按照</w:t>
      </w:r>
      <w:r>
        <w:rPr>
          <w:rFonts w:hint="eastAsia" w:ascii="仿宋_GB2312" w:hAnsi="仿宋_GB2312" w:eastAsia="仿宋_GB2312" w:cs="仿宋_GB2312"/>
          <w:color w:val="auto"/>
          <w:sz w:val="32"/>
          <w:szCs w:val="32"/>
          <w:highlight w:val="none"/>
        </w:rPr>
        <w:t>不超过审定投资额的50%给予支持，且不超过最高补贴额上限。</w:t>
      </w:r>
    </w:p>
    <w:p w14:paraId="62E6F4FE">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二、支持条件</w:t>
      </w:r>
    </w:p>
    <w:p w14:paraId="574E9F7C">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（一）申报主体需为在</w:t>
      </w:r>
      <w:r>
        <w:rPr>
          <w:rFonts w:hint="eastAsia" w:ascii="仿宋_GB2312" w:hAnsi="仿宋_GB2312" w:eastAsia="仿宋_GB2312" w:cs="仿宋_GB2312"/>
          <w:color w:val="auto"/>
          <w:sz w:val="32"/>
          <w:szCs w:val="32"/>
          <w:highlight w:val="none"/>
          <w:lang w:val="en-US" w:eastAsia="zh-CN"/>
        </w:rPr>
        <w:t>大兴区内合法经营</w:t>
      </w:r>
      <w:r>
        <w:rPr>
          <w:rFonts w:hint="eastAsia" w:ascii="仿宋_GB2312" w:hAnsi="仿宋_GB2312" w:eastAsia="仿宋_GB2312" w:cs="仿宋_GB2312"/>
          <w:color w:val="auto"/>
          <w:sz w:val="32"/>
          <w:szCs w:val="32"/>
          <w:highlight w:val="none"/>
        </w:rPr>
        <w:t>的具有理发相关资质的连锁企业，证照齐全，</w:t>
      </w:r>
      <w:r>
        <w:rPr>
          <w:rFonts w:hint="eastAsia" w:ascii="仿宋_GB2312" w:eastAsia="仿宋_GB2312"/>
          <w:color w:val="auto"/>
          <w:sz w:val="32"/>
          <w:szCs w:val="32"/>
          <w:highlight w:val="none"/>
        </w:rPr>
        <w:t>企业资信状况良好，近一年无不良行为记录，能较好地履行企业社会责任</w:t>
      </w:r>
      <w:r>
        <w:rPr>
          <w:rFonts w:hint="eastAsia" w:ascii="仿宋_GB2312" w:hAnsi="仿宋_GB2312" w:eastAsia="仿宋_GB2312" w:cs="仿宋_GB2312"/>
          <w:color w:val="auto"/>
          <w:sz w:val="32"/>
          <w:szCs w:val="32"/>
          <w:highlight w:val="none"/>
        </w:rPr>
        <w:t>。</w:t>
      </w:r>
    </w:p>
    <w:p w14:paraId="0D2E7E91">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w:t>
      </w:r>
      <w:bookmarkStart w:id="2" w:name="OLE_LINK10"/>
      <w:r>
        <w:rPr>
          <w:rFonts w:hint="eastAsia" w:ascii="仿宋_GB2312" w:hAnsi="仿宋_GB2312" w:eastAsia="仿宋_GB2312" w:cs="仿宋_GB2312"/>
          <w:color w:val="auto"/>
          <w:sz w:val="32"/>
          <w:szCs w:val="32"/>
          <w:highlight w:val="none"/>
        </w:rPr>
        <w:t>项目申报单位资金支付及发票开具时间在2024年1月1日（含）之后。且申报网点</w:t>
      </w:r>
      <w:r>
        <w:rPr>
          <w:rFonts w:hint="eastAsia" w:ascii="仿宋_GB2312" w:hAnsi="仿宋_GB2312" w:eastAsia="仿宋_GB2312" w:cs="仿宋_GB2312"/>
          <w:color w:val="auto"/>
          <w:sz w:val="32"/>
          <w:szCs w:val="32"/>
          <w:highlight w:val="none"/>
          <w:lang w:eastAsia="zh-CN"/>
        </w:rPr>
        <w:t>地理位置位于城镇辖区范围内，</w:t>
      </w:r>
      <w:bookmarkStart w:id="3" w:name="OLE_LINK9"/>
      <w:r>
        <w:rPr>
          <w:rFonts w:hint="eastAsia" w:ascii="仿宋_GB2312" w:hAnsi="仿宋_GB2312" w:eastAsia="仿宋_GB2312" w:cs="仿宋_GB2312"/>
          <w:color w:val="auto"/>
          <w:sz w:val="32"/>
          <w:szCs w:val="32"/>
          <w:highlight w:val="none"/>
        </w:rPr>
        <w:t>审定实际投资额不低于审定计划投资总额（符合支持方向的合同投资总额）的70%</w:t>
      </w:r>
      <w:r>
        <w:rPr>
          <w:rFonts w:hint="eastAsia" w:ascii="仿宋_GB2312" w:hAnsi="仿宋_GB2312" w:eastAsia="仿宋_GB2312" w:cs="仿宋_GB2312"/>
          <w:color w:val="auto"/>
          <w:sz w:val="32"/>
          <w:szCs w:val="32"/>
          <w:highlight w:val="none"/>
          <w:lang w:val="en-US" w:eastAsia="zh-CN"/>
        </w:rPr>
        <w:t>且超过5万元</w:t>
      </w:r>
      <w:bookmarkEnd w:id="3"/>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申报网点</w:t>
      </w:r>
      <w:r>
        <w:rPr>
          <w:rFonts w:hint="eastAsia" w:ascii="仿宋_GB2312" w:hAnsi="仿宋_GB2312" w:eastAsia="仿宋_GB2312" w:cs="仿宋_GB2312"/>
          <w:color w:val="auto"/>
          <w:sz w:val="32"/>
          <w:szCs w:val="32"/>
          <w:highlight w:val="none"/>
          <w:lang w:eastAsia="zh-CN"/>
        </w:rPr>
        <w:t>地理位置位于涉农区辖区范围内，</w:t>
      </w:r>
      <w:r>
        <w:rPr>
          <w:rFonts w:hint="eastAsia" w:ascii="仿宋_GB2312" w:hAnsi="仿宋_GB2312" w:eastAsia="仿宋_GB2312" w:cs="仿宋_GB2312"/>
          <w:color w:val="auto"/>
          <w:sz w:val="32"/>
          <w:szCs w:val="32"/>
          <w:highlight w:val="none"/>
        </w:rPr>
        <w:t>审定实际投资额不低于审定计划投资总额（符合支持方向的合同投资总额）的70%</w:t>
      </w:r>
      <w:r>
        <w:rPr>
          <w:rFonts w:hint="eastAsia" w:ascii="仿宋_GB2312" w:hAnsi="仿宋_GB2312" w:eastAsia="仿宋_GB2312" w:cs="仿宋_GB2312"/>
          <w:color w:val="auto"/>
          <w:sz w:val="32"/>
          <w:szCs w:val="32"/>
          <w:highlight w:val="none"/>
          <w:lang w:val="en-US" w:eastAsia="zh-CN"/>
        </w:rPr>
        <w:t>且超过3万元。</w:t>
      </w:r>
      <w:bookmarkEnd w:id="2"/>
    </w:p>
    <w:p w14:paraId="7A147405">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新建项目的营业执照注册日期在2024年1月1日（含）后，且已持续经营满6个月；升级改造的门店营业执照注册日期在2020年1月1日（不含）前，升级改造日期在2024年1月1日（含）后，且改造后已持续经营满3个月。</w:t>
      </w:r>
    </w:p>
    <w:p w14:paraId="4994598B">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）申报网点需实行“统一标识、统一经营、统一价格、统一服务质量”。</w:t>
      </w:r>
    </w:p>
    <w:p w14:paraId="2B3E8F42">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ascii="仿宋_GB2312" w:hAnsi="仿宋_GB2312" w:eastAsia="仿宋_GB2312" w:cs="仿宋_GB2312"/>
          <w:color w:val="auto"/>
          <w:sz w:val="32"/>
          <w:szCs w:val="32"/>
          <w:highlight w:val="none"/>
        </w:rPr>
      </w:pPr>
      <w:bookmarkStart w:id="4" w:name="OLE_LINK5"/>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w:t>
      </w:r>
      <w:bookmarkStart w:id="5" w:name="OLE_LINK3"/>
      <w:bookmarkStart w:id="6" w:name="OLE_LINK8"/>
      <w:r>
        <w:rPr>
          <w:rFonts w:hint="eastAsia" w:ascii="仿宋_GB2312" w:hAnsi="仿宋_GB2312" w:eastAsia="仿宋_GB2312" w:cs="仿宋_GB2312"/>
          <w:color w:val="auto"/>
          <w:sz w:val="32"/>
          <w:szCs w:val="32"/>
          <w:highlight w:val="none"/>
        </w:rPr>
        <w:t>申报网点</w:t>
      </w:r>
      <w:bookmarkStart w:id="7" w:name="OLE_LINK2"/>
      <w:r>
        <w:rPr>
          <w:rFonts w:hint="eastAsia" w:ascii="仿宋_GB2312" w:hAnsi="仿宋_GB2312" w:eastAsia="仿宋_GB2312" w:cs="仿宋_GB2312"/>
          <w:color w:val="auto"/>
          <w:sz w:val="32"/>
          <w:szCs w:val="32"/>
          <w:highlight w:val="none"/>
          <w:lang w:eastAsia="zh-CN"/>
        </w:rPr>
        <w:t>地理位置位于城镇辖区范围内</w:t>
      </w:r>
      <w:bookmarkEnd w:id="5"/>
      <w:bookmarkStart w:id="8" w:name="OLE_LINK4"/>
      <w:r>
        <w:rPr>
          <w:rFonts w:hint="eastAsia" w:ascii="仿宋_GB2312" w:hAnsi="仿宋_GB2312" w:eastAsia="仿宋_GB2312" w:cs="仿宋_GB2312"/>
          <w:color w:val="auto"/>
          <w:sz w:val="32"/>
          <w:szCs w:val="32"/>
          <w:highlight w:val="none"/>
          <w:lang w:eastAsia="zh-CN"/>
        </w:rPr>
        <w:t>，</w:t>
      </w:r>
      <w:bookmarkEnd w:id="6"/>
      <w:r>
        <w:rPr>
          <w:rFonts w:hint="eastAsia" w:ascii="仿宋_GB2312" w:hAnsi="仿宋_GB2312" w:eastAsia="仿宋_GB2312" w:cs="仿宋_GB2312"/>
          <w:color w:val="auto"/>
          <w:sz w:val="32"/>
          <w:szCs w:val="32"/>
          <w:highlight w:val="none"/>
        </w:rPr>
        <w:t>理发区域面积</w:t>
      </w:r>
      <w:bookmarkEnd w:id="7"/>
      <w:r>
        <w:rPr>
          <w:rFonts w:hint="eastAsia" w:ascii="仿宋_GB2312" w:hAnsi="仿宋_GB2312" w:eastAsia="仿宋_GB2312" w:cs="仿宋_GB2312"/>
          <w:color w:val="auto"/>
          <w:sz w:val="32"/>
          <w:szCs w:val="32"/>
          <w:highlight w:val="none"/>
          <w:lang w:eastAsia="zh-CN"/>
        </w:rPr>
        <w:t>需</w:t>
      </w:r>
      <w:bookmarkEnd w:id="8"/>
      <w:r>
        <w:rPr>
          <w:rFonts w:hint="eastAsia" w:ascii="仿宋_GB2312" w:hAnsi="仿宋_GB2312" w:eastAsia="仿宋_GB2312" w:cs="仿宋_GB2312"/>
          <w:color w:val="auto"/>
          <w:sz w:val="32"/>
          <w:szCs w:val="32"/>
          <w:highlight w:val="none"/>
        </w:rPr>
        <w:t>不低于60平方米</w:t>
      </w:r>
      <w:r>
        <w:rPr>
          <w:rFonts w:hint="eastAsia" w:ascii="仿宋_GB2312" w:hAnsi="仿宋_GB2312" w:eastAsia="仿宋_GB2312" w:cs="仿宋_GB2312"/>
          <w:color w:val="auto"/>
          <w:sz w:val="32"/>
          <w:szCs w:val="32"/>
          <w:highlight w:val="none"/>
          <w:lang w:eastAsia="zh-CN"/>
        </w:rPr>
        <w:t>；</w:t>
      </w:r>
      <w:bookmarkStart w:id="9" w:name="OLE_LINK7"/>
      <w:r>
        <w:rPr>
          <w:rFonts w:hint="eastAsia" w:ascii="仿宋_GB2312" w:hAnsi="仿宋_GB2312" w:eastAsia="仿宋_GB2312" w:cs="仿宋_GB2312"/>
          <w:color w:val="auto"/>
          <w:sz w:val="32"/>
          <w:szCs w:val="32"/>
          <w:highlight w:val="none"/>
        </w:rPr>
        <w:t>申报网点</w:t>
      </w:r>
      <w:r>
        <w:rPr>
          <w:rFonts w:hint="eastAsia" w:ascii="仿宋_GB2312" w:hAnsi="仿宋_GB2312" w:eastAsia="仿宋_GB2312" w:cs="仿宋_GB2312"/>
          <w:color w:val="auto"/>
          <w:sz w:val="32"/>
          <w:szCs w:val="32"/>
          <w:highlight w:val="none"/>
          <w:lang w:eastAsia="zh-CN"/>
        </w:rPr>
        <w:t>地理位置位于涉农区辖区范围内，在</w:t>
      </w:r>
      <w:r>
        <w:rPr>
          <w:rFonts w:hint="eastAsia" w:ascii="仿宋_GB2312" w:hAnsi="仿宋_GB2312" w:eastAsia="仿宋_GB2312" w:cs="仿宋_GB2312"/>
          <w:color w:val="auto"/>
          <w:sz w:val="32"/>
          <w:szCs w:val="32"/>
          <w:highlight w:val="none"/>
          <w:lang w:val="en-US" w:eastAsia="zh-CN"/>
        </w:rPr>
        <w:t>可满足居民需求前提下，不受面积要求限制。</w:t>
      </w:r>
      <w:bookmarkEnd w:id="9"/>
    </w:p>
    <w:bookmarkEnd w:id="4"/>
    <w:p w14:paraId="6A6C1491">
      <w:pPr>
        <w:keepNext w:val="0"/>
        <w:keepLines w:val="0"/>
        <w:pageBreakBefore w:val="0"/>
        <w:kinsoku/>
        <w:overflowPunct/>
        <w:topLinePunct w:val="0"/>
        <w:autoSpaceDE/>
        <w:autoSpaceDN/>
        <w:bidi w:val="0"/>
        <w:adjustRightInd/>
        <w:snapToGrid/>
        <w:spacing w:line="560" w:lineRule="exact"/>
        <w:ind w:left="0" w:leftChars="0"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rPr>
        <w:t>）</w:t>
      </w:r>
      <w:r>
        <w:rPr>
          <w:rFonts w:hint="eastAsia" w:ascii="仿宋_GB2312" w:eastAsia="仿宋_GB2312"/>
          <w:color w:val="auto"/>
          <w:sz w:val="32"/>
          <w:szCs w:val="32"/>
          <w:highlight w:val="none"/>
        </w:rPr>
        <w:t>申报网点需提交所属镇人民政府（街道办事处）或辖区居委会开具的便民惠民服务活动证明，例如定期为老年人提供优惠剪发服务、为老弱病残群体提供上门服务、与所属镇人民政府（街道办事处）或辖区居委会联合开展的持续性惠民活动。（以上内容包含一项即可）</w:t>
      </w:r>
    </w:p>
    <w:p w14:paraId="1F4C8D3F">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七</w:t>
      </w:r>
      <w:r>
        <w:rPr>
          <w:rFonts w:hint="eastAsia" w:ascii="仿宋_GB2312" w:eastAsia="仿宋_GB2312"/>
          <w:color w:val="auto"/>
          <w:sz w:val="32"/>
          <w:szCs w:val="32"/>
          <w:highlight w:val="none"/>
        </w:rPr>
        <w:t>）</w:t>
      </w:r>
      <w:r>
        <w:rPr>
          <w:rFonts w:hint="eastAsia" w:ascii="仿宋_GB2312" w:hAnsi="仿宋_GB2312" w:eastAsia="仿宋_GB2312" w:cs="仿宋_GB2312"/>
          <w:color w:val="auto"/>
          <w:sz w:val="32"/>
          <w:szCs w:val="32"/>
          <w:highlight w:val="none"/>
        </w:rPr>
        <w:t>新建和规范提升网点建设应重点参照《生活性服务行业行业标准规范汇编之七--美容美发行业》有关规范。</w:t>
      </w:r>
    </w:p>
    <w:p w14:paraId="60CAC42F">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（八）</w:t>
      </w:r>
      <w:r>
        <w:rPr>
          <w:rFonts w:hint="eastAsia" w:ascii="仿宋_GB2312" w:hAnsi="仿宋_GB2312" w:eastAsia="仿宋_GB2312" w:cs="仿宋_GB2312"/>
          <w:color w:val="auto"/>
          <w:sz w:val="32"/>
          <w:szCs w:val="32"/>
          <w:highlight w:val="none"/>
        </w:rPr>
        <w:t>申报网点</w:t>
      </w:r>
      <w:r>
        <w:rPr>
          <w:rFonts w:hint="eastAsia" w:ascii="仿宋_GB2312" w:hAnsi="仿宋_GB2312" w:eastAsia="仿宋_GB2312" w:cs="仿宋_GB2312"/>
          <w:color w:val="auto"/>
          <w:sz w:val="32"/>
          <w:szCs w:val="32"/>
          <w:highlight w:val="none"/>
          <w:lang w:eastAsia="zh-CN"/>
        </w:rPr>
        <w:t>应</w:t>
      </w:r>
      <w:r>
        <w:rPr>
          <w:rFonts w:hint="eastAsia" w:ascii="仿宋_GB2312" w:hAnsi="仿宋_GB2312" w:eastAsia="仿宋_GB2312" w:cs="仿宋_GB2312"/>
          <w:color w:val="auto"/>
          <w:sz w:val="32"/>
          <w:szCs w:val="32"/>
          <w:highlight w:val="none"/>
        </w:rPr>
        <w:t>按照《北京市单用途预付卡管理条例》</w:t>
      </w:r>
      <w:r>
        <w:rPr>
          <w:rFonts w:hint="eastAsia" w:ascii="仿宋_GB2312" w:hAnsi="仿宋_GB2312" w:eastAsia="仿宋_GB2312" w:cs="仿宋_GB2312"/>
          <w:color w:val="auto"/>
          <w:sz w:val="32"/>
          <w:szCs w:val="32"/>
          <w:highlight w:val="none"/>
          <w:lang w:eastAsia="zh-CN"/>
        </w:rPr>
        <w:t>规定</w:t>
      </w:r>
      <w:r>
        <w:rPr>
          <w:rFonts w:hint="eastAsia" w:ascii="仿宋_GB2312" w:hAnsi="仿宋_GB2312" w:eastAsia="仿宋_GB2312" w:cs="仿宋_GB2312"/>
          <w:color w:val="auto"/>
          <w:sz w:val="32"/>
          <w:szCs w:val="32"/>
          <w:highlight w:val="none"/>
        </w:rPr>
        <w:t>进行单用途预付卡备案，并按照条例要求</w:t>
      </w:r>
      <w:r>
        <w:rPr>
          <w:rFonts w:hint="eastAsia" w:ascii="仿宋_GB2312" w:hAnsi="仿宋_GB2312" w:eastAsia="仿宋_GB2312" w:cs="仿宋_GB2312"/>
          <w:color w:val="auto"/>
          <w:sz w:val="32"/>
          <w:szCs w:val="32"/>
          <w:highlight w:val="none"/>
          <w:lang w:eastAsia="zh-CN"/>
        </w:rPr>
        <w:t>做好</w:t>
      </w:r>
      <w:r>
        <w:rPr>
          <w:rFonts w:hint="eastAsia" w:ascii="仿宋_GB2312" w:hAnsi="仿宋_GB2312" w:eastAsia="仿宋_GB2312" w:cs="仿宋_GB2312"/>
          <w:color w:val="auto"/>
          <w:sz w:val="32"/>
          <w:szCs w:val="32"/>
          <w:highlight w:val="none"/>
        </w:rPr>
        <w:t>相关工作。</w:t>
      </w:r>
    </w:p>
    <w:p w14:paraId="058B52E9">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ascii="仿宋_GB2312"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九</w:t>
      </w:r>
      <w:r>
        <w:rPr>
          <w:rFonts w:hint="eastAsia" w:ascii="仿宋_GB2312" w:eastAsia="仿宋_GB2312"/>
          <w:color w:val="auto"/>
          <w:sz w:val="32"/>
          <w:szCs w:val="32"/>
          <w:highlight w:val="none"/>
        </w:rPr>
        <w:t>）申报网点应做好经营场所内部蚊、蝇、鼠、蟑螂等病媒生物的防控工作，配合做好各项相关工作。</w:t>
      </w:r>
    </w:p>
    <w:p w14:paraId="5CB82A20">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ascii="仿宋_GB2312"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十</w:t>
      </w:r>
      <w:r>
        <w:rPr>
          <w:rFonts w:hint="eastAsia" w:ascii="仿宋_GB2312" w:eastAsia="仿宋_GB2312"/>
          <w:color w:val="auto"/>
          <w:sz w:val="32"/>
          <w:szCs w:val="32"/>
          <w:highlight w:val="none"/>
        </w:rPr>
        <w:t>）申报网点应严格落实《北京市控制吸烟条例》相关要求，做好经营场所内部控烟工作，营造无烟服务环境。</w:t>
      </w:r>
    </w:p>
    <w:p w14:paraId="13B573F2">
      <w:pPr>
        <w:keepNext w:val="0"/>
        <w:keepLines w:val="0"/>
        <w:pageBreakBefore w:val="0"/>
        <w:kinsoku/>
        <w:overflowPunct/>
        <w:topLinePunct w:val="0"/>
        <w:autoSpaceDE/>
        <w:autoSpaceDN/>
        <w:bidi w:val="0"/>
        <w:adjustRightInd/>
        <w:snapToGrid/>
        <w:spacing w:line="560" w:lineRule="exact"/>
        <w:ind w:left="0" w:leftChars="0" w:firstLine="640" w:firstLineChars="200"/>
        <w:rPr>
          <w:rFonts w:ascii="仿宋_GB2312" w:hAnsi="仿宋" w:eastAsia="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十一</w:t>
      </w:r>
      <w:r>
        <w:rPr>
          <w:rFonts w:hint="eastAsia" w:ascii="仿宋_GB2312" w:hAnsi="仿宋_GB2312" w:eastAsia="仿宋_GB2312" w:cs="仿宋_GB2312"/>
          <w:color w:val="auto"/>
          <w:sz w:val="32"/>
          <w:szCs w:val="32"/>
          <w:highlight w:val="none"/>
        </w:rPr>
        <w:t>）</w:t>
      </w:r>
      <w:r>
        <w:rPr>
          <w:rFonts w:hint="eastAsia" w:ascii="仿宋_GB2312" w:eastAsia="仿宋_GB2312"/>
          <w:color w:val="auto"/>
          <w:sz w:val="32"/>
          <w:szCs w:val="32"/>
          <w:highlight w:val="none"/>
        </w:rPr>
        <w:t>申报</w:t>
      </w:r>
      <w:r>
        <w:rPr>
          <w:rFonts w:hint="eastAsia" w:ascii="仿宋_GB2312" w:hAnsi="仿宋" w:eastAsia="仿宋_GB2312"/>
          <w:color w:val="auto"/>
          <w:sz w:val="32"/>
          <w:szCs w:val="32"/>
          <w:highlight w:val="none"/>
        </w:rPr>
        <w:t>网点应积极参与</w:t>
      </w:r>
      <w:r>
        <w:rPr>
          <w:rFonts w:hint="eastAsia" w:ascii="仿宋_GB2312" w:hAnsi="华文中宋" w:eastAsia="仿宋_GB2312"/>
          <w:color w:val="auto"/>
          <w:sz w:val="32"/>
          <w:szCs w:val="32"/>
          <w:highlight w:val="none"/>
        </w:rPr>
        <w:t>“一刻钟社区服务圈”建设</w:t>
      </w:r>
      <w:r>
        <w:rPr>
          <w:rFonts w:hint="eastAsia" w:ascii="仿宋_GB2312" w:hAnsi="仿宋" w:eastAsia="仿宋_GB2312"/>
          <w:color w:val="auto"/>
          <w:sz w:val="32"/>
          <w:szCs w:val="32"/>
          <w:highlight w:val="none"/>
        </w:rPr>
        <w:t>，鼓励搭载相关社区便民商业服务，配合所属镇人民政府（街道办事处）做好社区服务。</w:t>
      </w:r>
    </w:p>
    <w:p w14:paraId="53882612">
      <w:pPr>
        <w:keepNext w:val="0"/>
        <w:keepLines w:val="0"/>
        <w:pageBreakBefore w:val="0"/>
        <w:kinsoku/>
        <w:overflowPunct/>
        <w:topLinePunct w:val="0"/>
        <w:autoSpaceDE/>
        <w:autoSpaceDN/>
        <w:bidi w:val="0"/>
        <w:adjustRightInd/>
        <w:snapToGrid/>
        <w:spacing w:line="560" w:lineRule="exact"/>
        <w:ind w:left="0" w:leftChars="0" w:firstLine="640" w:firstLineChars="200"/>
        <w:rPr>
          <w:rFonts w:ascii="仿宋_GB2312" w:hAnsi="仿宋" w:eastAsia="仿宋_GB2312"/>
          <w:color w:val="auto"/>
          <w:sz w:val="32"/>
          <w:szCs w:val="32"/>
          <w:highlight w:val="none"/>
        </w:rPr>
      </w:pPr>
      <w:r>
        <w:rPr>
          <w:rFonts w:hint="eastAsia" w:ascii="仿宋_GB2312" w:eastAsia="仿宋_GB2312"/>
          <w:color w:val="auto"/>
          <w:sz w:val="32"/>
          <w:szCs w:val="32"/>
          <w:highlight w:val="none"/>
        </w:rPr>
        <w:t>（十</w:t>
      </w:r>
      <w:r>
        <w:rPr>
          <w:rFonts w:hint="eastAsia" w:ascii="仿宋_GB2312" w:eastAsia="仿宋_GB2312"/>
          <w:color w:val="auto"/>
          <w:sz w:val="32"/>
          <w:szCs w:val="32"/>
          <w:highlight w:val="none"/>
          <w:lang w:eastAsia="zh-CN"/>
        </w:rPr>
        <w:t>二</w:t>
      </w:r>
      <w:r>
        <w:rPr>
          <w:rFonts w:hint="eastAsia" w:ascii="仿宋_GB2312" w:eastAsia="仿宋_GB2312"/>
          <w:color w:val="auto"/>
          <w:sz w:val="32"/>
          <w:szCs w:val="32"/>
          <w:highlight w:val="none"/>
        </w:rPr>
        <w:t>）申报网点应在优化智能服务方式的同时，充分考虑老年群体的特殊性，应保留传统面对面人工服务和现金支付方式，有效解决老年人无法使用智能技术获取线上服务的困难。同时，鼓励搭载助老服务，开辟老年人绿色通道及专门服务，保障老年顾客消费权益。</w:t>
      </w:r>
    </w:p>
    <w:p w14:paraId="685CF8DA">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三、支持方式</w:t>
      </w:r>
    </w:p>
    <w:p w14:paraId="06329616">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经第三方评审机构审定后，以财政补贴方式给予支持。</w:t>
      </w:r>
    </w:p>
    <w:p w14:paraId="30B2597D">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baseline"/>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四、</w:t>
      </w:r>
      <w:r>
        <w:rPr>
          <w:rFonts w:hint="eastAsia" w:ascii="黑体" w:hAnsi="黑体" w:eastAsia="黑体" w:cs="黑体"/>
          <w:color w:val="auto"/>
          <w:sz w:val="32"/>
          <w:szCs w:val="32"/>
          <w:highlight w:val="none"/>
        </w:rPr>
        <w:t>支持标准</w:t>
      </w:r>
    </w:p>
    <w:p w14:paraId="7A716254">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ascii="黑体" w:hAnsi="黑体" w:eastAsia="黑体" w:cs="黑体"/>
          <w:color w:val="auto"/>
          <w:sz w:val="32"/>
          <w:szCs w:val="32"/>
          <w:highlight w:val="none"/>
        </w:rPr>
      </w:pPr>
      <w:bookmarkStart w:id="10" w:name="OLE_LINK6"/>
      <w:r>
        <w:rPr>
          <w:rFonts w:hint="eastAsia" w:ascii="仿宋_GB2312" w:hAnsi="仿宋_GB2312" w:eastAsia="仿宋_GB2312" w:cs="仿宋_GB2312"/>
          <w:color w:val="auto"/>
          <w:sz w:val="32"/>
          <w:szCs w:val="32"/>
          <w:highlight w:val="none"/>
        </w:rPr>
        <w:t>申报202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年度补贴政策的网点</w:t>
      </w:r>
      <w:r>
        <w:rPr>
          <w:rFonts w:hint="eastAsia" w:ascii="仿宋_GB2312" w:hAnsi="仿宋_GB2312" w:eastAsia="仿宋_GB2312" w:cs="仿宋_GB2312"/>
          <w:color w:val="auto"/>
          <w:sz w:val="32"/>
          <w:szCs w:val="32"/>
          <w:highlight w:val="none"/>
          <w:lang w:eastAsia="zh-CN"/>
        </w:rPr>
        <w:t>依据便民理发店</w:t>
      </w:r>
      <w:r>
        <w:rPr>
          <w:rFonts w:hint="eastAsia" w:ascii="仿宋_GB2312" w:hAnsi="仿宋_GB2312" w:eastAsia="仿宋_GB2312" w:cs="仿宋_GB2312"/>
          <w:color w:val="auto"/>
          <w:sz w:val="32"/>
          <w:szCs w:val="32"/>
          <w:highlight w:val="none"/>
          <w:lang w:val="en-US" w:eastAsia="zh-CN"/>
        </w:rPr>
        <w:t>聚集密度、服务社区居民人数等因素，</w:t>
      </w:r>
      <w:r>
        <w:rPr>
          <w:rFonts w:hint="eastAsia" w:ascii="仿宋_GB2312" w:hAnsi="仿宋_GB2312" w:eastAsia="仿宋_GB2312" w:cs="仿宋_GB2312"/>
          <w:color w:val="auto"/>
          <w:sz w:val="32"/>
          <w:szCs w:val="32"/>
          <w:highlight w:val="none"/>
        </w:rPr>
        <w:t>按不超过各项投资审定投资额的50%标准给予支持。</w:t>
      </w:r>
    </w:p>
    <w:bookmarkEnd w:id="10"/>
    <w:p w14:paraId="40912A8C">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楷体" w:hAnsi="楷体" w:eastAsia="楷体" w:cs="楷体"/>
          <w:color w:val="auto"/>
          <w:sz w:val="32"/>
          <w:szCs w:val="32"/>
          <w:highlight w:val="none"/>
        </w:rPr>
      </w:pPr>
      <w:r>
        <w:rPr>
          <w:rFonts w:hint="eastAsia" w:ascii="楷体_GB2312" w:hAnsi="楷体_GB2312" w:eastAsia="楷体_GB2312" w:cs="楷体_GB2312"/>
          <w:color w:val="auto"/>
          <w:sz w:val="32"/>
          <w:szCs w:val="32"/>
          <w:highlight w:val="none"/>
        </w:rPr>
        <w:t>（一）新建便民理发网点资金补助</w:t>
      </w:r>
    </w:p>
    <w:p w14:paraId="0941ECF8">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单个网点可申请店面装修、硬软件设备购置的补贴资金额度最高不超过</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万元。</w:t>
      </w:r>
    </w:p>
    <w:p w14:paraId="0F3B224B">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楷体" w:hAnsi="楷体" w:eastAsia="楷体" w:cs="楷体"/>
          <w:color w:val="auto"/>
          <w:sz w:val="32"/>
          <w:szCs w:val="32"/>
          <w:highlight w:val="none"/>
        </w:rPr>
      </w:pPr>
      <w:r>
        <w:rPr>
          <w:rFonts w:hint="eastAsia" w:ascii="楷体_GB2312" w:hAnsi="楷体_GB2312" w:eastAsia="楷体_GB2312" w:cs="楷体_GB2312"/>
          <w:color w:val="auto"/>
          <w:sz w:val="32"/>
          <w:szCs w:val="32"/>
          <w:highlight w:val="none"/>
        </w:rPr>
        <w:t>（二）规范提升便民理发网点资金补助</w:t>
      </w:r>
    </w:p>
    <w:p w14:paraId="5CC2325C">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单个网点可申请店面装修、硬软件设备购置的补贴资金额度最高不超过10万元。</w:t>
      </w:r>
    </w:p>
    <w:p w14:paraId="3F805AA5">
      <w:pPr>
        <w:keepNext w:val="0"/>
        <w:keepLines w:val="0"/>
        <w:pageBreakBefore w:val="0"/>
        <w:kinsoku/>
        <w:overflowPunct/>
        <w:topLinePunct w:val="0"/>
        <w:autoSpaceDE/>
        <w:autoSpaceDN/>
        <w:bidi w:val="0"/>
        <w:adjustRightInd/>
        <w:snapToGrid/>
        <w:spacing w:line="560" w:lineRule="exact"/>
        <w:ind w:firstLine="720" w:firstLineChars="200"/>
        <w:textAlignment w:val="baseline"/>
        <w:rPr>
          <w:rFonts w:ascii="黑体" w:hAnsi="黑体" w:eastAsia="黑体" w:cs="黑体"/>
          <w:color w:val="auto"/>
          <w:sz w:val="36"/>
          <w:szCs w:val="36"/>
          <w:highlight w:val="none"/>
        </w:rPr>
      </w:pPr>
    </w:p>
    <w:p w14:paraId="7DCFA2A0">
      <w:pPr>
        <w:keepNext w:val="0"/>
        <w:keepLines w:val="0"/>
        <w:pageBreakBefore w:val="0"/>
        <w:kinsoku/>
        <w:overflowPunct/>
        <w:topLinePunct w:val="0"/>
        <w:autoSpaceDE/>
        <w:autoSpaceDN/>
        <w:bidi w:val="0"/>
        <w:adjustRightInd/>
        <w:snapToGrid/>
        <w:spacing w:line="560" w:lineRule="exact"/>
        <w:jc w:val="center"/>
        <w:textAlignment w:val="baseline"/>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第</w:t>
      </w:r>
      <w:r>
        <w:rPr>
          <w:rFonts w:hint="eastAsia" w:ascii="黑体" w:hAnsi="黑体" w:eastAsia="黑体" w:cs="黑体"/>
          <w:color w:val="auto"/>
          <w:sz w:val="36"/>
          <w:szCs w:val="36"/>
          <w:highlight w:val="none"/>
          <w:lang w:eastAsia="zh-CN"/>
        </w:rPr>
        <w:t>六</w:t>
      </w:r>
      <w:r>
        <w:rPr>
          <w:rFonts w:hint="eastAsia" w:ascii="黑体" w:hAnsi="黑体" w:eastAsia="黑体" w:cs="黑体"/>
          <w:color w:val="auto"/>
          <w:sz w:val="36"/>
          <w:szCs w:val="36"/>
          <w:highlight w:val="none"/>
        </w:rPr>
        <w:t>章  社区商业便民服务综合体</w:t>
      </w:r>
    </w:p>
    <w:p w14:paraId="56DF7A27">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一、支持内容</w:t>
      </w:r>
    </w:p>
    <w:p w14:paraId="28CCD3B5">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年1月1日以来新建或依托于现状增加便民业态形成的、以方便社区居民日常生活为核心，不断拓展社区商业服务功能的多功能社区商业便民服务综合体，在装修及硬软件设备购置等方面的支出，可</w:t>
      </w:r>
      <w:r>
        <w:rPr>
          <w:rFonts w:hint="eastAsia" w:ascii="仿宋_GB2312" w:hAnsi="仿宋_GB2312" w:eastAsia="仿宋_GB2312" w:cs="仿宋_GB2312"/>
          <w:color w:val="auto"/>
          <w:sz w:val="32"/>
          <w:szCs w:val="32"/>
          <w:highlight w:val="none"/>
          <w:lang w:val="en-US" w:eastAsia="zh-CN"/>
        </w:rPr>
        <w:t>按照</w:t>
      </w:r>
      <w:bookmarkStart w:id="11" w:name="_GoBack"/>
      <w:bookmarkEnd w:id="11"/>
      <w:r>
        <w:rPr>
          <w:rFonts w:hint="eastAsia" w:ascii="仿宋_GB2312" w:hAnsi="仿宋_GB2312" w:eastAsia="仿宋_GB2312" w:cs="仿宋_GB2312"/>
          <w:color w:val="auto"/>
          <w:sz w:val="32"/>
          <w:szCs w:val="32"/>
          <w:highlight w:val="none"/>
        </w:rPr>
        <w:t>不超过审定投资额的50%给予支持，且不超过最高补贴额上限。</w:t>
      </w:r>
    </w:p>
    <w:p w14:paraId="368CAD9E">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二、支持条件</w:t>
      </w:r>
    </w:p>
    <w:p w14:paraId="4B4AD5C1">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（一）申报主体需为在</w:t>
      </w:r>
      <w:r>
        <w:rPr>
          <w:rFonts w:hint="eastAsia" w:ascii="仿宋_GB2312" w:hAnsi="仿宋_GB2312" w:eastAsia="仿宋_GB2312" w:cs="仿宋_GB2312"/>
          <w:color w:val="auto"/>
          <w:sz w:val="32"/>
          <w:szCs w:val="32"/>
          <w:highlight w:val="none"/>
          <w:lang w:val="en-US" w:eastAsia="zh-CN"/>
        </w:rPr>
        <w:t>大兴区内合法经营</w:t>
      </w:r>
      <w:r>
        <w:rPr>
          <w:rFonts w:hint="eastAsia" w:ascii="仿宋_GB2312" w:hAnsi="仿宋_GB2312" w:eastAsia="仿宋_GB2312" w:cs="仿宋_GB2312"/>
          <w:color w:val="auto"/>
          <w:sz w:val="32"/>
          <w:szCs w:val="32"/>
          <w:highlight w:val="none"/>
        </w:rPr>
        <w:t>的企业，证照齐全，</w:t>
      </w:r>
      <w:r>
        <w:rPr>
          <w:rFonts w:hint="eastAsia" w:ascii="仿宋_GB2312" w:eastAsia="仿宋_GB2312"/>
          <w:color w:val="auto"/>
          <w:sz w:val="32"/>
          <w:szCs w:val="32"/>
          <w:highlight w:val="none"/>
        </w:rPr>
        <w:t>企业资信状况良好，近一年无不良行为记录，能较好地履行企业社会责任</w:t>
      </w:r>
      <w:r>
        <w:rPr>
          <w:rFonts w:hint="eastAsia" w:ascii="仿宋_GB2312" w:hAnsi="仿宋_GB2312" w:eastAsia="仿宋_GB2312" w:cs="仿宋_GB2312"/>
          <w:color w:val="auto"/>
          <w:sz w:val="32"/>
          <w:szCs w:val="32"/>
          <w:highlight w:val="none"/>
        </w:rPr>
        <w:t>。</w:t>
      </w:r>
    </w:p>
    <w:p w14:paraId="194BD78B">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（二）项目申报单位资金支付及发票开具时间在2024年1月1日（含）之后。且审定实际投资额不低于审定计划投资总额（符合支持方向的合同投资总额）的70%。</w:t>
      </w:r>
    </w:p>
    <w:p w14:paraId="1664669D">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w:t>
      </w:r>
      <w:r>
        <w:rPr>
          <w:rFonts w:hint="eastAsia" w:ascii="仿宋_GB2312" w:hAnsi="仿宋_GB2312" w:eastAsia="仿宋_GB2312" w:cs="仿宋_GB2312"/>
          <w:i w:val="0"/>
          <w:iCs w:val="0"/>
          <w:caps w:val="0"/>
          <w:color w:val="333333"/>
          <w:spacing w:val="0"/>
          <w:sz w:val="32"/>
          <w:szCs w:val="32"/>
          <w:highlight w:val="none"/>
          <w:shd w:val="clear" w:fill="FFFFFF"/>
        </w:rPr>
        <w:t>截至</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政策发布</w:t>
      </w:r>
      <w:r>
        <w:rPr>
          <w:rFonts w:hint="eastAsia" w:ascii="仿宋_GB2312" w:hAnsi="仿宋_GB2312" w:eastAsia="仿宋_GB2312" w:cs="仿宋_GB2312"/>
          <w:i w:val="0"/>
          <w:iCs w:val="0"/>
          <w:caps w:val="0"/>
          <w:color w:val="333333"/>
          <w:spacing w:val="0"/>
          <w:sz w:val="32"/>
          <w:szCs w:val="32"/>
          <w:highlight w:val="none"/>
          <w:shd w:val="clear" w:fill="FFFFFF"/>
        </w:rPr>
        <w:t>之日，项目申报单位营业执照成立时间应满一年</w:t>
      </w:r>
      <w:r>
        <w:rPr>
          <w:rFonts w:hint="eastAsia" w:ascii="仿宋_GB2312" w:hAnsi="仿宋_GB2312" w:eastAsia="仿宋_GB2312" w:cs="仿宋_GB2312"/>
          <w:i w:val="0"/>
          <w:iCs w:val="0"/>
          <w:caps w:val="0"/>
          <w:color w:val="333333"/>
          <w:spacing w:val="0"/>
          <w:sz w:val="32"/>
          <w:szCs w:val="32"/>
          <w:highlight w:val="none"/>
          <w:shd w:val="clear" w:fill="FFFFFF"/>
          <w:lang w:eastAsia="zh-CN"/>
        </w:rPr>
        <w:t>，</w:t>
      </w:r>
      <w:r>
        <w:rPr>
          <w:rFonts w:hint="eastAsia" w:ascii="仿宋_GB2312" w:hAnsi="仿宋_GB2312" w:eastAsia="仿宋_GB2312" w:cs="仿宋_GB2312"/>
          <w:color w:val="auto"/>
          <w:sz w:val="32"/>
          <w:szCs w:val="32"/>
          <w:highlight w:val="none"/>
          <w:lang w:val="en-US" w:eastAsia="zh-CN"/>
        </w:rPr>
        <w:t>且</w:t>
      </w:r>
      <w:r>
        <w:rPr>
          <w:rFonts w:hint="eastAsia" w:ascii="仿宋_GB2312" w:hAnsi="仿宋_GB2312" w:eastAsia="仿宋_GB2312" w:cs="仿宋_GB2312"/>
          <w:color w:val="auto"/>
          <w:sz w:val="32"/>
          <w:szCs w:val="32"/>
          <w:highlight w:val="none"/>
        </w:rPr>
        <w:t>项目已持续经营满6个月。</w:t>
      </w:r>
    </w:p>
    <w:p w14:paraId="670A6795">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 xml:space="preserve">）申报主体的运营模式需采用物业业主自行管理或委托专业运营管理公司统一经营的管理方式。统一经营是指社区商业的经营权和管理权完全纳入到一个组织机构下“统一规划设计、统一进行招商和统一经营管理”的运营模式。申报主体应承担社区商业各种业态的设计、招商、日常运营和管理，把控综合体的功能组合与品牌档次以及保障项目完整性，最大程度上满足社区居民的消费需求。  </w:t>
      </w:r>
    </w:p>
    <w:p w14:paraId="3EEF2E47">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经营业态需包括便利店（社区超市）、蔬菜店、早餐、家政、洗染、便民理发、家电维修、末端配送等便民业态，其中便利店（社区超市）、蔬菜店、早餐、便民理发、末端配送5类业态为实体门店，满足社区居民日常生活用品的购买需求，提供衣、食、用等基本生活商品的服务。应满足辐射商圈半径0.5-1.5公里左右，建筑面积2000平方米以上。</w:t>
      </w:r>
    </w:p>
    <w:p w14:paraId="705DCDC9">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rPr>
        <w:t>）社区商业便民服务综合体建设应重点参照《生活性服务行业行业标准规范汇编之十一--社区商业便民服务综合体》有关规范。</w:t>
      </w:r>
    </w:p>
    <w:p w14:paraId="5E101A5A">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ascii="仿宋_GB2312"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七</w:t>
      </w:r>
      <w:r>
        <w:rPr>
          <w:rFonts w:hint="eastAsia" w:ascii="仿宋_GB2312" w:eastAsia="仿宋_GB2312"/>
          <w:color w:val="auto"/>
          <w:sz w:val="32"/>
          <w:szCs w:val="32"/>
          <w:highlight w:val="none"/>
        </w:rPr>
        <w:t>）申报主体应</w:t>
      </w:r>
      <w:r>
        <w:rPr>
          <w:rFonts w:hint="eastAsia" w:ascii="仿宋_GB2312" w:hAnsi="仿宋_GB2312" w:eastAsia="仿宋_GB2312" w:cs="仿宋_GB2312"/>
          <w:color w:val="auto"/>
          <w:sz w:val="32"/>
          <w:szCs w:val="32"/>
          <w:highlight w:val="none"/>
        </w:rPr>
        <w:t>做好经营场所内部蚊、蝇、鼠、蟑螂等病媒生物的防控工作，严格遵守卫生、食药等相关部门对本行业卫生管理的相关要求，配合行业部门开展的各项相关工作。</w:t>
      </w:r>
    </w:p>
    <w:p w14:paraId="34086124">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ascii="仿宋_GB2312"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八</w:t>
      </w:r>
      <w:r>
        <w:rPr>
          <w:rFonts w:hint="eastAsia" w:ascii="仿宋_GB2312" w:eastAsia="仿宋_GB2312"/>
          <w:color w:val="auto"/>
          <w:sz w:val="32"/>
          <w:szCs w:val="32"/>
          <w:highlight w:val="none"/>
        </w:rPr>
        <w:t>）申报主体应严格落实《北京市控制吸烟条例》的相关要求，做好经营场所内部的控烟工作，营造无烟服务环境。</w:t>
      </w:r>
    </w:p>
    <w:p w14:paraId="019524F2">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九</w:t>
      </w:r>
      <w:r>
        <w:rPr>
          <w:rFonts w:hint="eastAsia" w:ascii="仿宋_GB2312" w:hAnsi="仿宋" w:eastAsia="仿宋_GB2312"/>
          <w:color w:val="auto"/>
          <w:sz w:val="32"/>
          <w:szCs w:val="32"/>
          <w:highlight w:val="none"/>
        </w:rPr>
        <w:t>）</w:t>
      </w:r>
      <w:r>
        <w:rPr>
          <w:rFonts w:hint="eastAsia" w:ascii="仿宋_GB2312" w:eastAsia="仿宋_GB2312"/>
          <w:color w:val="auto"/>
          <w:sz w:val="32"/>
          <w:szCs w:val="32"/>
          <w:highlight w:val="none"/>
        </w:rPr>
        <w:t>鼓励申报主体应</w:t>
      </w:r>
      <w:r>
        <w:rPr>
          <w:rFonts w:hint="eastAsia" w:ascii="仿宋_GB2312" w:hAnsi="仿宋" w:eastAsia="仿宋_GB2312"/>
          <w:color w:val="auto"/>
          <w:sz w:val="32"/>
          <w:szCs w:val="32"/>
          <w:highlight w:val="none"/>
        </w:rPr>
        <w:t>积极参与</w:t>
      </w:r>
      <w:r>
        <w:rPr>
          <w:rFonts w:hint="eastAsia" w:ascii="仿宋_GB2312" w:hAnsi="华文中宋" w:eastAsia="仿宋_GB2312"/>
          <w:color w:val="auto"/>
          <w:sz w:val="32"/>
          <w:szCs w:val="32"/>
          <w:highlight w:val="none"/>
        </w:rPr>
        <w:t>“一刻钟便民商圈”建设</w:t>
      </w:r>
      <w:r>
        <w:rPr>
          <w:rFonts w:hint="eastAsia" w:ascii="仿宋_GB2312" w:hAnsi="仿宋" w:eastAsia="仿宋_GB2312"/>
          <w:color w:val="auto"/>
          <w:sz w:val="32"/>
          <w:szCs w:val="32"/>
          <w:highlight w:val="none"/>
        </w:rPr>
        <w:t>，搭载社区便民商业服务，配合所属镇政府（街道办事处）做好社区服务。</w:t>
      </w:r>
    </w:p>
    <w:p w14:paraId="222A1010">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ascii="仿宋_GB2312" w:hAnsi="仿宋"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十</w:t>
      </w:r>
      <w:r>
        <w:rPr>
          <w:rFonts w:hint="eastAsia" w:ascii="仿宋_GB2312" w:eastAsia="仿宋_GB2312"/>
          <w:color w:val="auto"/>
          <w:sz w:val="32"/>
          <w:szCs w:val="32"/>
          <w:highlight w:val="none"/>
        </w:rPr>
        <w:t>）申报网点应在优化智能服务方式的同时，充分考虑老年群体的特殊性，应保留传统面对面人工服务和现金支付方式，有效解决老年人无法使用智能技术获取线上服务的困难。同时，鼓励搭载助老服务，开辟老年人绿色通道及专门服务，保障老年顾客消费权益。</w:t>
      </w:r>
    </w:p>
    <w:p w14:paraId="5C579730">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三、支持方式</w:t>
      </w:r>
    </w:p>
    <w:p w14:paraId="56A84AEA">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经第三方评审机构审定后，以财政补贴方式给予支持。</w:t>
      </w:r>
    </w:p>
    <w:p w14:paraId="5C672871">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四、支持标准</w:t>
      </w:r>
    </w:p>
    <w:p w14:paraId="12840A4C">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ascii="仿宋_GB2312" w:hAnsi="Calibri" w:eastAsia="仿宋_GB2312"/>
          <w:color w:val="auto"/>
          <w:sz w:val="32"/>
          <w:szCs w:val="32"/>
          <w:highlight w:val="none"/>
        </w:rPr>
      </w:pPr>
      <w:r>
        <w:rPr>
          <w:rFonts w:hint="eastAsia" w:ascii="仿宋_GB2312" w:hAnsi="仿宋_GB2312" w:eastAsia="仿宋_GB2312" w:cs="仿宋_GB2312"/>
          <w:color w:val="auto"/>
          <w:sz w:val="32"/>
          <w:szCs w:val="32"/>
          <w:highlight w:val="none"/>
        </w:rPr>
        <w:t>对符合条件的社区商业便民服务综合体</w:t>
      </w:r>
      <w:r>
        <w:rPr>
          <w:rFonts w:hint="eastAsia" w:ascii="仿宋_GB2312" w:hAnsi="Calibri" w:eastAsia="仿宋_GB2312"/>
          <w:color w:val="auto"/>
          <w:sz w:val="32"/>
          <w:szCs w:val="32"/>
          <w:highlight w:val="none"/>
        </w:rPr>
        <w:t>，</w:t>
      </w:r>
      <w:r>
        <w:rPr>
          <w:rFonts w:hint="eastAsia" w:ascii="仿宋_GB2312" w:hAnsi="仿宋_GB2312" w:eastAsia="仿宋_GB2312" w:cs="仿宋_GB2312"/>
          <w:color w:val="auto"/>
          <w:sz w:val="32"/>
          <w:szCs w:val="32"/>
          <w:highlight w:val="none"/>
        </w:rPr>
        <w:t>按不超过各项投资审定投资额的50%标准给予支持。可申请店面装修、硬软件设备购置的补贴资金额度最高不超过</w:t>
      </w:r>
      <w:r>
        <w:rPr>
          <w:rFonts w:hint="eastAsia" w:ascii="仿宋_GB2312" w:hAnsi="Calibri" w:eastAsia="仿宋_GB2312"/>
          <w:color w:val="auto"/>
          <w:sz w:val="32"/>
          <w:szCs w:val="32"/>
          <w:highlight w:val="none"/>
        </w:rPr>
        <w:t>200万元。</w:t>
      </w:r>
    </w:p>
    <w:p w14:paraId="57877779">
      <w:pPr>
        <w:keepNext w:val="0"/>
        <w:keepLines w:val="0"/>
        <w:pageBreakBefore w:val="0"/>
        <w:kinsoku/>
        <w:overflowPunct/>
        <w:topLinePunct w:val="0"/>
        <w:autoSpaceDE/>
        <w:autoSpaceDN/>
        <w:bidi w:val="0"/>
        <w:adjustRightInd/>
        <w:snapToGrid/>
        <w:spacing w:line="560" w:lineRule="exact"/>
        <w:jc w:val="center"/>
        <w:textAlignment w:val="baseline"/>
        <w:rPr>
          <w:rFonts w:ascii="黑体" w:hAnsi="黑体" w:eastAsia="黑体" w:cs="黑体"/>
          <w:color w:val="auto"/>
          <w:sz w:val="36"/>
          <w:szCs w:val="36"/>
          <w:highlight w:val="none"/>
        </w:rPr>
      </w:pPr>
    </w:p>
    <w:p w14:paraId="1677ED8A">
      <w:pPr>
        <w:keepNext w:val="0"/>
        <w:keepLines w:val="0"/>
        <w:pageBreakBefore w:val="0"/>
        <w:kinsoku/>
        <w:overflowPunct/>
        <w:topLinePunct w:val="0"/>
        <w:autoSpaceDE/>
        <w:autoSpaceDN/>
        <w:bidi w:val="0"/>
        <w:adjustRightInd/>
        <w:snapToGrid/>
        <w:spacing w:line="560" w:lineRule="exact"/>
        <w:textAlignment w:val="baseline"/>
        <w:rPr>
          <w:rFonts w:ascii="仿宋_GB2312" w:hAnsi="Calibri" w:eastAsia="仿宋_GB2312"/>
          <w:color w:val="auto"/>
          <w:sz w:val="32"/>
          <w:szCs w:val="32"/>
          <w:highlight w:val="none"/>
        </w:rPr>
      </w:pPr>
    </w:p>
    <w:p w14:paraId="794FF27D">
      <w:pPr>
        <w:keepNext w:val="0"/>
        <w:keepLines w:val="0"/>
        <w:pageBreakBefore w:val="0"/>
        <w:kinsoku/>
        <w:wordWrap w:val="0"/>
        <w:overflowPunct/>
        <w:topLinePunct w:val="0"/>
        <w:autoSpaceDE/>
        <w:autoSpaceDN/>
        <w:bidi w:val="0"/>
        <w:adjustRightInd/>
        <w:snapToGrid/>
        <w:spacing w:line="560" w:lineRule="exact"/>
        <w:ind w:firstLine="640" w:firstLineChars="200"/>
        <w:jc w:val="right"/>
        <w:textAlignment w:val="baseline"/>
        <w:rPr>
          <w:rFonts w:ascii="仿宋_GB2312" w:hAnsi="仿宋_GB2312" w:eastAsia="仿宋_GB2312" w:cs="仿宋_GB2312"/>
          <w:b/>
          <w:bCs/>
          <w:color w:val="auto"/>
          <w:kern w:val="0"/>
          <w:sz w:val="32"/>
          <w:szCs w:val="32"/>
          <w:highlight w:val="none"/>
        </w:rPr>
      </w:pPr>
      <w:r>
        <w:rPr>
          <w:rFonts w:hint="eastAsia" w:ascii="仿宋_GB2312" w:hAnsi="Calibri" w:eastAsia="仿宋_GB2312"/>
          <w:color w:val="auto"/>
          <w:sz w:val="32"/>
          <w:szCs w:val="32"/>
          <w:highlight w:val="none"/>
        </w:rPr>
        <w:t xml:space="preserve">     </w:t>
      </w:r>
    </w:p>
    <w:p w14:paraId="425C4EFD">
      <w:pPr>
        <w:keepNext w:val="0"/>
        <w:keepLines w:val="0"/>
        <w:pageBreakBefore w:val="0"/>
        <w:kinsoku/>
        <w:overflowPunct/>
        <w:topLinePunct w:val="0"/>
        <w:autoSpaceDE/>
        <w:autoSpaceDN/>
        <w:bidi w:val="0"/>
        <w:adjustRightInd/>
        <w:snapToGrid/>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br w:type="page"/>
      </w:r>
    </w:p>
    <w:p w14:paraId="67EB6A53">
      <w:pPr>
        <w:keepNext w:val="0"/>
        <w:keepLines w:val="0"/>
        <w:pageBreakBefore w:val="0"/>
        <w:kinsoku/>
        <w:overflowPunct/>
        <w:topLinePunct w:val="0"/>
        <w:autoSpaceDE/>
        <w:autoSpaceDN/>
        <w:bidi w:val="0"/>
        <w:adjustRightInd/>
        <w:snapToGrid/>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申报指南相关内容解析：</w:t>
      </w:r>
    </w:p>
    <w:p w14:paraId="2F43F5E3">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（一）关于连锁网点的解释</w:t>
      </w:r>
    </w:p>
    <w:p w14:paraId="08A82EAE">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ascii="仿宋_GB2312" w:eastAsia="仿宋_GB2312"/>
          <w:color w:val="auto"/>
          <w:sz w:val="32"/>
          <w:szCs w:val="32"/>
          <w:highlight w:val="none"/>
        </w:rPr>
      </w:pPr>
      <w:r>
        <w:rPr>
          <w:rFonts w:hint="eastAsia" w:ascii="仿宋_GB2312" w:hAnsi="仿宋_GB2312" w:eastAsia="仿宋_GB2312" w:cs="仿宋_GB2312"/>
          <w:color w:val="auto"/>
          <w:sz w:val="32"/>
          <w:szCs w:val="32"/>
          <w:highlight w:val="none"/>
        </w:rPr>
        <w:t>在本市行政区域内开设</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家以上（含</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家）网点视为连锁企业，含202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年新建网点数量。</w:t>
      </w:r>
    </w:p>
    <w:p w14:paraId="55DCFBAB">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（二）关于资金补贴适用范围的解释</w:t>
      </w:r>
    </w:p>
    <w:p w14:paraId="386B7466">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baseline"/>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同一项目的相同投入内容不得同时申报区商务局多个项目。</w:t>
      </w:r>
      <w:r>
        <w:rPr>
          <w:rFonts w:hint="eastAsia" w:ascii="仿宋_GB2312" w:eastAsia="仿宋_GB2312"/>
          <w:color w:val="auto"/>
          <w:sz w:val="32"/>
          <w:szCs w:val="32"/>
          <w:highlight w:val="none"/>
        </w:rPr>
        <w:t>对202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年度已获得区级便民商业补贴资金的网点、202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年度或202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年度已获得市级商务部门商业发展补贴资金的网点，不再给予支持。</w:t>
      </w:r>
      <w:r>
        <w:rPr>
          <w:rFonts w:hint="eastAsia" w:ascii="仿宋_GB2312" w:eastAsia="仿宋_GB2312"/>
          <w:color w:val="auto"/>
          <w:sz w:val="32"/>
          <w:szCs w:val="32"/>
          <w:highlight w:val="none"/>
          <w:lang w:eastAsia="zh-CN"/>
        </w:rPr>
        <w:t>关于项目申报的最终解释权以区商务局为准。</w:t>
      </w:r>
    </w:p>
    <w:p w14:paraId="52F13DA1">
      <w:pPr>
        <w:keepNext w:val="0"/>
        <w:keepLines w:val="0"/>
        <w:pageBreakBefore w:val="0"/>
        <w:numPr>
          <w:ilvl w:val="-1"/>
          <w:numId w:val="0"/>
        </w:numPr>
        <w:kinsoku/>
        <w:overflowPunct/>
        <w:topLinePunct w:val="0"/>
        <w:autoSpaceDE/>
        <w:autoSpaceDN/>
        <w:bidi w:val="0"/>
        <w:adjustRightInd/>
        <w:snapToGrid/>
        <w:spacing w:line="560" w:lineRule="exact"/>
        <w:ind w:firstLine="0"/>
        <w:textAlignment w:val="baseline"/>
        <w:rPr>
          <w:rFonts w:hint="default" w:ascii="仿宋_GB2312" w:hAnsi="仿宋" w:eastAsia="仿宋_GB2312"/>
          <w:color w:val="auto"/>
          <w:sz w:val="32"/>
          <w:szCs w:val="32"/>
          <w:highlight w:val="none"/>
          <w:lang w:val="en-US" w:eastAsia="zh-CN"/>
        </w:rPr>
      </w:pPr>
    </w:p>
    <w:p w14:paraId="1729D63A">
      <w:pPr>
        <w:keepNext w:val="0"/>
        <w:keepLines w:val="0"/>
        <w:pageBreakBefore w:val="0"/>
        <w:kinsoku/>
        <w:overflowPunct/>
        <w:topLinePunct w:val="0"/>
        <w:autoSpaceDE/>
        <w:autoSpaceDN/>
        <w:bidi w:val="0"/>
        <w:adjustRightInd/>
        <w:snapToGrid/>
        <w:spacing w:afterLines="100" w:line="560" w:lineRule="exact"/>
        <w:jc w:val="center"/>
        <w:rPr>
          <w:rFonts w:ascii="文星标宋" w:hAnsi="文星标宋" w:eastAsia="文星标宋" w:cs="文星标宋"/>
          <w:color w:val="auto"/>
          <w:sz w:val="44"/>
          <w:szCs w:val="44"/>
          <w:highlight w:val="none"/>
        </w:rPr>
      </w:pPr>
    </w:p>
    <w:p w14:paraId="0EE9EB06">
      <w:pPr>
        <w:keepNext w:val="0"/>
        <w:keepLines w:val="0"/>
        <w:pageBreakBefore w:val="0"/>
        <w:kinsoku/>
        <w:overflowPunct/>
        <w:topLinePunct w:val="0"/>
        <w:autoSpaceDE/>
        <w:autoSpaceDN/>
        <w:bidi w:val="0"/>
        <w:adjustRightInd/>
        <w:snapToGrid/>
        <w:spacing w:afterLines="100" w:line="560" w:lineRule="exact"/>
        <w:jc w:val="center"/>
        <w:rPr>
          <w:rFonts w:ascii="文星标宋" w:hAnsi="文星标宋" w:eastAsia="文星标宋" w:cs="文星标宋"/>
          <w:color w:val="auto"/>
          <w:sz w:val="44"/>
          <w:szCs w:val="44"/>
          <w:highlight w:val="none"/>
        </w:rPr>
      </w:pPr>
    </w:p>
    <w:p w14:paraId="3B4BF4F8">
      <w:pPr>
        <w:keepNext w:val="0"/>
        <w:keepLines w:val="0"/>
        <w:pageBreakBefore w:val="0"/>
        <w:kinsoku/>
        <w:overflowPunct/>
        <w:topLinePunct w:val="0"/>
        <w:autoSpaceDE/>
        <w:autoSpaceDN/>
        <w:bidi w:val="0"/>
        <w:adjustRightInd/>
        <w:snapToGrid/>
        <w:spacing w:afterLines="100" w:line="560" w:lineRule="exact"/>
        <w:rPr>
          <w:rFonts w:ascii="仿宋_GB2312" w:hAnsi="仿宋" w:eastAsia="仿宋_GB2312"/>
          <w:color w:val="auto"/>
          <w:sz w:val="32"/>
          <w:szCs w:val="32"/>
          <w:highlight w:val="none"/>
        </w:rPr>
      </w:pPr>
    </w:p>
    <w:sectPr>
      <w:footerReference r:id="rId4" w:type="default"/>
      <w:pgSz w:w="11850" w:h="16783"/>
      <w:pgMar w:top="1440" w:right="1474" w:bottom="1440" w:left="1474"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66A2B64-C5D4-4C08-802D-2C2FE840AB2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246CFCB-2C29-4EAE-BB44-51BADDB838B1}"/>
  </w:font>
  <w:font w:name="华文中宋">
    <w:panose1 w:val="02010600040101010101"/>
    <w:charset w:val="86"/>
    <w:family w:val="auto"/>
    <w:pitch w:val="default"/>
    <w:sig w:usb0="00000287" w:usb1="080F0000" w:usb2="00000000" w:usb3="00000000" w:csb0="0004009F" w:csb1="DFD70000"/>
    <w:embedRegular r:id="rId3" w:fontKey="{EFD0444E-0EC4-449D-A5A6-7DC5974392E0}"/>
  </w:font>
  <w:font w:name="方正小标宋简体">
    <w:panose1 w:val="02000000000000000000"/>
    <w:charset w:val="86"/>
    <w:family w:val="auto"/>
    <w:pitch w:val="default"/>
    <w:sig w:usb0="A00002BF" w:usb1="184F6CFA" w:usb2="00000012" w:usb3="00000000" w:csb0="00040001" w:csb1="00000000"/>
    <w:embedRegular r:id="rId4" w:fontKey="{608CB462-AB82-46AC-B436-25F6D8E47DEA}"/>
  </w:font>
  <w:font w:name="仿宋_GB2312">
    <w:panose1 w:val="02010609030101010101"/>
    <w:charset w:val="86"/>
    <w:family w:val="auto"/>
    <w:pitch w:val="default"/>
    <w:sig w:usb0="00000001" w:usb1="080E0000" w:usb2="00000000" w:usb3="00000000" w:csb0="00040000" w:csb1="00000000"/>
    <w:embedRegular r:id="rId5" w:fontKey="{3B868C15-6BE2-4A28-8DAF-74EF3C74E756}"/>
  </w:font>
  <w:font w:name="楷体_GB2312">
    <w:panose1 w:val="02010609030101010101"/>
    <w:charset w:val="86"/>
    <w:family w:val="auto"/>
    <w:pitch w:val="default"/>
    <w:sig w:usb0="00000001" w:usb1="080E0000" w:usb2="00000000" w:usb3="00000000" w:csb0="00040000" w:csb1="00000000"/>
    <w:embedRegular r:id="rId6" w:fontKey="{914BA02D-029D-4ED2-9BD5-43EBFBA0E755}"/>
  </w:font>
  <w:font w:name="仿宋">
    <w:panose1 w:val="02010609060101010101"/>
    <w:charset w:val="86"/>
    <w:family w:val="modern"/>
    <w:pitch w:val="default"/>
    <w:sig w:usb0="800002BF" w:usb1="38CF7CFA" w:usb2="00000016" w:usb3="00000000" w:csb0="00040001" w:csb1="00000000"/>
    <w:embedRegular r:id="rId7" w:fontKey="{290C150D-3991-4C07-88E7-103B173BD72C}"/>
  </w:font>
  <w:font w:name="楷体">
    <w:panose1 w:val="02010609060101010101"/>
    <w:charset w:val="86"/>
    <w:family w:val="modern"/>
    <w:pitch w:val="default"/>
    <w:sig w:usb0="800002BF" w:usb1="38CF7CFA" w:usb2="00000016" w:usb3="00000000" w:csb0="00040001" w:csb1="00000000"/>
    <w:embedRegular r:id="rId8" w:fontKey="{9A8A8815-3FC5-4B90-A445-216DD704CC8E}"/>
  </w:font>
  <w:font w:name="文星标宋">
    <w:altName w:val="微软雅黑"/>
    <w:panose1 w:val="00000000000000000000"/>
    <w:charset w:val="86"/>
    <w:family w:val="auto"/>
    <w:pitch w:val="default"/>
    <w:sig w:usb0="00000000" w:usb1="00000000" w:usb2="00000000" w:usb3="00000000" w:csb0="00040001" w:csb1="00000000"/>
    <w:embedRegular r:id="rId9" w:fontKey="{E951D347-8B05-4FFB-918A-D36D1B1BBF5A}"/>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CB868">
    <w:pPr>
      <w:pStyle w:val="9"/>
      <w:framePr w:wrap="around" w:vAnchor="text" w:hAnchor="margin" w:xAlign="center" w:y="1"/>
      <w:rPr>
        <w:rStyle w:val="14"/>
      </w:rPr>
    </w:pPr>
    <w:r>
      <w:fldChar w:fldCharType="begin"/>
    </w:r>
    <w:r>
      <w:rPr>
        <w:rStyle w:val="14"/>
      </w:rPr>
      <w:instrText xml:space="preserve">PAGE  </w:instrText>
    </w:r>
    <w:r>
      <w:fldChar w:fldCharType="end"/>
    </w:r>
  </w:p>
  <w:p w14:paraId="531F1FBB">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EAB6A">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BB06AB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14:paraId="4BB06AB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1ZjE5Yjg3OWE0YjhhNTcyZTcwYTU1NDJlNDlhNjEifQ=="/>
  </w:docVars>
  <w:rsids>
    <w:rsidRoot w:val="00172A27"/>
    <w:rsid w:val="00094CF7"/>
    <w:rsid w:val="00172A27"/>
    <w:rsid w:val="001A1FA8"/>
    <w:rsid w:val="001C7B81"/>
    <w:rsid w:val="002413B1"/>
    <w:rsid w:val="00360E24"/>
    <w:rsid w:val="00481D2A"/>
    <w:rsid w:val="004960B0"/>
    <w:rsid w:val="0058014E"/>
    <w:rsid w:val="005A3DCA"/>
    <w:rsid w:val="007916E5"/>
    <w:rsid w:val="00920DE4"/>
    <w:rsid w:val="00977D8F"/>
    <w:rsid w:val="009D5AA8"/>
    <w:rsid w:val="00A338A3"/>
    <w:rsid w:val="00AD1E5D"/>
    <w:rsid w:val="00BF0771"/>
    <w:rsid w:val="00D80B89"/>
    <w:rsid w:val="00D95D8F"/>
    <w:rsid w:val="00D967D8"/>
    <w:rsid w:val="00DA5491"/>
    <w:rsid w:val="00DB5007"/>
    <w:rsid w:val="00DE1F45"/>
    <w:rsid w:val="00E92320"/>
    <w:rsid w:val="00EA3EEE"/>
    <w:rsid w:val="00EE5E02"/>
    <w:rsid w:val="00F252A1"/>
    <w:rsid w:val="00FF66F7"/>
    <w:rsid w:val="012353EE"/>
    <w:rsid w:val="01377C1F"/>
    <w:rsid w:val="013A28AC"/>
    <w:rsid w:val="014E0117"/>
    <w:rsid w:val="01502FB6"/>
    <w:rsid w:val="01557A72"/>
    <w:rsid w:val="01731EFD"/>
    <w:rsid w:val="01874858"/>
    <w:rsid w:val="01947E46"/>
    <w:rsid w:val="01AA24C7"/>
    <w:rsid w:val="01DF0ABD"/>
    <w:rsid w:val="01E20AFD"/>
    <w:rsid w:val="01E6270F"/>
    <w:rsid w:val="01F0125B"/>
    <w:rsid w:val="02045195"/>
    <w:rsid w:val="02140DFD"/>
    <w:rsid w:val="02310247"/>
    <w:rsid w:val="02445ED5"/>
    <w:rsid w:val="024D698F"/>
    <w:rsid w:val="02500D70"/>
    <w:rsid w:val="02C12614"/>
    <w:rsid w:val="02C43451"/>
    <w:rsid w:val="02F3531F"/>
    <w:rsid w:val="0321565E"/>
    <w:rsid w:val="03221170"/>
    <w:rsid w:val="0331660C"/>
    <w:rsid w:val="03395815"/>
    <w:rsid w:val="035352E0"/>
    <w:rsid w:val="035B76DF"/>
    <w:rsid w:val="03727BC1"/>
    <w:rsid w:val="039932A2"/>
    <w:rsid w:val="03B04B18"/>
    <w:rsid w:val="03C230FA"/>
    <w:rsid w:val="040D089B"/>
    <w:rsid w:val="04230E43"/>
    <w:rsid w:val="043D25A2"/>
    <w:rsid w:val="043D526C"/>
    <w:rsid w:val="043F286A"/>
    <w:rsid w:val="04A03D2C"/>
    <w:rsid w:val="04A66299"/>
    <w:rsid w:val="04B111AF"/>
    <w:rsid w:val="04D47F3B"/>
    <w:rsid w:val="04D560C1"/>
    <w:rsid w:val="04DC4607"/>
    <w:rsid w:val="04E66022"/>
    <w:rsid w:val="05061AFA"/>
    <w:rsid w:val="051266F5"/>
    <w:rsid w:val="05611702"/>
    <w:rsid w:val="05722FD6"/>
    <w:rsid w:val="059129F0"/>
    <w:rsid w:val="05C71E12"/>
    <w:rsid w:val="060E69D2"/>
    <w:rsid w:val="061E5DC4"/>
    <w:rsid w:val="062A2630"/>
    <w:rsid w:val="064222D0"/>
    <w:rsid w:val="06577095"/>
    <w:rsid w:val="066248A5"/>
    <w:rsid w:val="067C76F5"/>
    <w:rsid w:val="06BD334A"/>
    <w:rsid w:val="06F22488"/>
    <w:rsid w:val="06F509B5"/>
    <w:rsid w:val="071D3D05"/>
    <w:rsid w:val="072C57BD"/>
    <w:rsid w:val="072D11D3"/>
    <w:rsid w:val="07385F23"/>
    <w:rsid w:val="075C2AC0"/>
    <w:rsid w:val="075C703A"/>
    <w:rsid w:val="076F5347"/>
    <w:rsid w:val="07726BE5"/>
    <w:rsid w:val="07874DC9"/>
    <w:rsid w:val="07A133E5"/>
    <w:rsid w:val="07A75736"/>
    <w:rsid w:val="07AB4027"/>
    <w:rsid w:val="07AF1C25"/>
    <w:rsid w:val="07D2446F"/>
    <w:rsid w:val="07D8554C"/>
    <w:rsid w:val="07E9223F"/>
    <w:rsid w:val="07ED3BBA"/>
    <w:rsid w:val="07F93BD8"/>
    <w:rsid w:val="082344FC"/>
    <w:rsid w:val="08770E88"/>
    <w:rsid w:val="087865D9"/>
    <w:rsid w:val="089C50FA"/>
    <w:rsid w:val="08AB08E3"/>
    <w:rsid w:val="08B74D8C"/>
    <w:rsid w:val="08BC45A6"/>
    <w:rsid w:val="08C3046C"/>
    <w:rsid w:val="094D7CA4"/>
    <w:rsid w:val="095824E2"/>
    <w:rsid w:val="09703E25"/>
    <w:rsid w:val="09AB25DA"/>
    <w:rsid w:val="09CB7492"/>
    <w:rsid w:val="09D2758B"/>
    <w:rsid w:val="09DA18E4"/>
    <w:rsid w:val="09EF04BF"/>
    <w:rsid w:val="09F12F22"/>
    <w:rsid w:val="09F27DFA"/>
    <w:rsid w:val="0A156AC6"/>
    <w:rsid w:val="0A203FCC"/>
    <w:rsid w:val="0A44256D"/>
    <w:rsid w:val="0AE466BE"/>
    <w:rsid w:val="0B017BFD"/>
    <w:rsid w:val="0B216C62"/>
    <w:rsid w:val="0B351028"/>
    <w:rsid w:val="0B351F9E"/>
    <w:rsid w:val="0B412CF8"/>
    <w:rsid w:val="0B4A73A3"/>
    <w:rsid w:val="0B5D2577"/>
    <w:rsid w:val="0B7A7F2D"/>
    <w:rsid w:val="0B904C38"/>
    <w:rsid w:val="0BBF42D9"/>
    <w:rsid w:val="0C037212"/>
    <w:rsid w:val="0C331BA9"/>
    <w:rsid w:val="0C583AAA"/>
    <w:rsid w:val="0C7C3D86"/>
    <w:rsid w:val="0C9136F7"/>
    <w:rsid w:val="0CD073FF"/>
    <w:rsid w:val="0CE236A1"/>
    <w:rsid w:val="0CE50C5B"/>
    <w:rsid w:val="0D1B0EEF"/>
    <w:rsid w:val="0D3C28A0"/>
    <w:rsid w:val="0D4E2C18"/>
    <w:rsid w:val="0D853A8C"/>
    <w:rsid w:val="0DA84CED"/>
    <w:rsid w:val="0E286225"/>
    <w:rsid w:val="0E3E23AC"/>
    <w:rsid w:val="0E593D94"/>
    <w:rsid w:val="0EFE647B"/>
    <w:rsid w:val="0F5F718B"/>
    <w:rsid w:val="0FD86ABA"/>
    <w:rsid w:val="100B4E1B"/>
    <w:rsid w:val="10325F72"/>
    <w:rsid w:val="103658EB"/>
    <w:rsid w:val="10641622"/>
    <w:rsid w:val="10902D40"/>
    <w:rsid w:val="10A97B22"/>
    <w:rsid w:val="10B952EA"/>
    <w:rsid w:val="10DB7316"/>
    <w:rsid w:val="111334C0"/>
    <w:rsid w:val="111C050A"/>
    <w:rsid w:val="11790B2F"/>
    <w:rsid w:val="118D526E"/>
    <w:rsid w:val="12180A15"/>
    <w:rsid w:val="121A05A5"/>
    <w:rsid w:val="12317504"/>
    <w:rsid w:val="124E2CAE"/>
    <w:rsid w:val="12746620"/>
    <w:rsid w:val="12852A97"/>
    <w:rsid w:val="128D5176"/>
    <w:rsid w:val="12980FC9"/>
    <w:rsid w:val="12C728F5"/>
    <w:rsid w:val="12E96994"/>
    <w:rsid w:val="13074B3C"/>
    <w:rsid w:val="134458BA"/>
    <w:rsid w:val="137C6E3F"/>
    <w:rsid w:val="138857E8"/>
    <w:rsid w:val="138A454A"/>
    <w:rsid w:val="13B94AB4"/>
    <w:rsid w:val="13F32DAE"/>
    <w:rsid w:val="13FA21AB"/>
    <w:rsid w:val="142E20E6"/>
    <w:rsid w:val="14703B4D"/>
    <w:rsid w:val="148674D2"/>
    <w:rsid w:val="14A224DD"/>
    <w:rsid w:val="14B07704"/>
    <w:rsid w:val="14B91061"/>
    <w:rsid w:val="14FB0F09"/>
    <w:rsid w:val="151A74DB"/>
    <w:rsid w:val="15470192"/>
    <w:rsid w:val="15500BCF"/>
    <w:rsid w:val="1552616D"/>
    <w:rsid w:val="15695ACC"/>
    <w:rsid w:val="157D73D3"/>
    <w:rsid w:val="15845C47"/>
    <w:rsid w:val="15B3176C"/>
    <w:rsid w:val="15C95DC7"/>
    <w:rsid w:val="15D82C7B"/>
    <w:rsid w:val="162E5F3C"/>
    <w:rsid w:val="16614983"/>
    <w:rsid w:val="167B48AD"/>
    <w:rsid w:val="168F79D2"/>
    <w:rsid w:val="16956A3B"/>
    <w:rsid w:val="16AA3786"/>
    <w:rsid w:val="16BC5954"/>
    <w:rsid w:val="16C031B9"/>
    <w:rsid w:val="16E82A39"/>
    <w:rsid w:val="17087F30"/>
    <w:rsid w:val="17246ECF"/>
    <w:rsid w:val="175F76F0"/>
    <w:rsid w:val="17606BE5"/>
    <w:rsid w:val="17A25484"/>
    <w:rsid w:val="17B9616B"/>
    <w:rsid w:val="17BE4FE2"/>
    <w:rsid w:val="180A4273"/>
    <w:rsid w:val="180A7DD4"/>
    <w:rsid w:val="18107165"/>
    <w:rsid w:val="18250195"/>
    <w:rsid w:val="18372EE4"/>
    <w:rsid w:val="186B555C"/>
    <w:rsid w:val="18880854"/>
    <w:rsid w:val="18AE7458"/>
    <w:rsid w:val="18C1569B"/>
    <w:rsid w:val="18C42BA1"/>
    <w:rsid w:val="18C506FE"/>
    <w:rsid w:val="18D11376"/>
    <w:rsid w:val="19071487"/>
    <w:rsid w:val="19084DF2"/>
    <w:rsid w:val="190A4701"/>
    <w:rsid w:val="1921531D"/>
    <w:rsid w:val="19283BC7"/>
    <w:rsid w:val="194D55A9"/>
    <w:rsid w:val="19684841"/>
    <w:rsid w:val="19A42088"/>
    <w:rsid w:val="19B16E4F"/>
    <w:rsid w:val="19B647B9"/>
    <w:rsid w:val="19B8779C"/>
    <w:rsid w:val="19DE60CE"/>
    <w:rsid w:val="19E35FEB"/>
    <w:rsid w:val="19E934A2"/>
    <w:rsid w:val="1A214E39"/>
    <w:rsid w:val="1A251494"/>
    <w:rsid w:val="1A293B9A"/>
    <w:rsid w:val="1A551442"/>
    <w:rsid w:val="1A8609D7"/>
    <w:rsid w:val="1AA04F08"/>
    <w:rsid w:val="1ACB0D0B"/>
    <w:rsid w:val="1ACC3E7D"/>
    <w:rsid w:val="1ADD27B6"/>
    <w:rsid w:val="1AF67080"/>
    <w:rsid w:val="1AFC4529"/>
    <w:rsid w:val="1B2F7FF3"/>
    <w:rsid w:val="1B3426AC"/>
    <w:rsid w:val="1B3C6891"/>
    <w:rsid w:val="1B5C1B06"/>
    <w:rsid w:val="1B96479C"/>
    <w:rsid w:val="1BAF11F0"/>
    <w:rsid w:val="1BF04E2B"/>
    <w:rsid w:val="1C4208E0"/>
    <w:rsid w:val="1C6F612D"/>
    <w:rsid w:val="1C777A01"/>
    <w:rsid w:val="1C9C2A8E"/>
    <w:rsid w:val="1CAD0994"/>
    <w:rsid w:val="1CDB2FCD"/>
    <w:rsid w:val="1CFA3057"/>
    <w:rsid w:val="1D532374"/>
    <w:rsid w:val="1D7B0DDD"/>
    <w:rsid w:val="1D8B78F4"/>
    <w:rsid w:val="1DA23D94"/>
    <w:rsid w:val="1DB30AF1"/>
    <w:rsid w:val="1DCB34B0"/>
    <w:rsid w:val="1E1F1FA5"/>
    <w:rsid w:val="1E3A5F77"/>
    <w:rsid w:val="1E8F464E"/>
    <w:rsid w:val="1EC62679"/>
    <w:rsid w:val="1EDF6C88"/>
    <w:rsid w:val="1EFA5861"/>
    <w:rsid w:val="1F0A5A46"/>
    <w:rsid w:val="1F1B1F17"/>
    <w:rsid w:val="1F2919A1"/>
    <w:rsid w:val="1F4214AD"/>
    <w:rsid w:val="1F542757"/>
    <w:rsid w:val="1F56592A"/>
    <w:rsid w:val="1F7F008A"/>
    <w:rsid w:val="1FB202A4"/>
    <w:rsid w:val="1FCD7494"/>
    <w:rsid w:val="1FD10D06"/>
    <w:rsid w:val="1FD22A3C"/>
    <w:rsid w:val="200E138A"/>
    <w:rsid w:val="202A5546"/>
    <w:rsid w:val="20421B31"/>
    <w:rsid w:val="20817C16"/>
    <w:rsid w:val="20DB447A"/>
    <w:rsid w:val="20E732DF"/>
    <w:rsid w:val="20E748B9"/>
    <w:rsid w:val="215C7ACF"/>
    <w:rsid w:val="21821197"/>
    <w:rsid w:val="218872DA"/>
    <w:rsid w:val="21B9732C"/>
    <w:rsid w:val="21BB3108"/>
    <w:rsid w:val="21BC0BCF"/>
    <w:rsid w:val="21D1055A"/>
    <w:rsid w:val="21E27EB1"/>
    <w:rsid w:val="21FC109A"/>
    <w:rsid w:val="22061839"/>
    <w:rsid w:val="220F0682"/>
    <w:rsid w:val="222D1C8A"/>
    <w:rsid w:val="224443AB"/>
    <w:rsid w:val="226F0434"/>
    <w:rsid w:val="227E14DC"/>
    <w:rsid w:val="22987A6D"/>
    <w:rsid w:val="22991C1D"/>
    <w:rsid w:val="22AF5735"/>
    <w:rsid w:val="22B22C69"/>
    <w:rsid w:val="22B91715"/>
    <w:rsid w:val="22D83F00"/>
    <w:rsid w:val="22E37A06"/>
    <w:rsid w:val="232828AB"/>
    <w:rsid w:val="2336748F"/>
    <w:rsid w:val="23571D84"/>
    <w:rsid w:val="236509F4"/>
    <w:rsid w:val="23A44CDC"/>
    <w:rsid w:val="23AA669B"/>
    <w:rsid w:val="23AC5D02"/>
    <w:rsid w:val="23C73F37"/>
    <w:rsid w:val="23E735F1"/>
    <w:rsid w:val="23F71C77"/>
    <w:rsid w:val="240427AB"/>
    <w:rsid w:val="242D47AA"/>
    <w:rsid w:val="2477133C"/>
    <w:rsid w:val="24A81F95"/>
    <w:rsid w:val="24B12C4B"/>
    <w:rsid w:val="24C54F6A"/>
    <w:rsid w:val="24D53714"/>
    <w:rsid w:val="24D818B1"/>
    <w:rsid w:val="24E51AB3"/>
    <w:rsid w:val="24ED312B"/>
    <w:rsid w:val="25017074"/>
    <w:rsid w:val="25140506"/>
    <w:rsid w:val="255F1BC1"/>
    <w:rsid w:val="2574425A"/>
    <w:rsid w:val="259619A3"/>
    <w:rsid w:val="25B16999"/>
    <w:rsid w:val="25C45104"/>
    <w:rsid w:val="25EA17E0"/>
    <w:rsid w:val="26552414"/>
    <w:rsid w:val="267F6C9B"/>
    <w:rsid w:val="26B6519D"/>
    <w:rsid w:val="26C2449E"/>
    <w:rsid w:val="26CB3A4A"/>
    <w:rsid w:val="26DA4D7C"/>
    <w:rsid w:val="26EB05B6"/>
    <w:rsid w:val="270F6864"/>
    <w:rsid w:val="27291471"/>
    <w:rsid w:val="27374F71"/>
    <w:rsid w:val="273B4DEE"/>
    <w:rsid w:val="27463D07"/>
    <w:rsid w:val="27516F50"/>
    <w:rsid w:val="27834C0A"/>
    <w:rsid w:val="27AC7552"/>
    <w:rsid w:val="27B3046C"/>
    <w:rsid w:val="27D22053"/>
    <w:rsid w:val="27F82CDF"/>
    <w:rsid w:val="282037A0"/>
    <w:rsid w:val="283D2E53"/>
    <w:rsid w:val="284D73E2"/>
    <w:rsid w:val="28716319"/>
    <w:rsid w:val="288F157A"/>
    <w:rsid w:val="28A10827"/>
    <w:rsid w:val="28AB7D0B"/>
    <w:rsid w:val="28CA2701"/>
    <w:rsid w:val="28CA3AEE"/>
    <w:rsid w:val="28DB1750"/>
    <w:rsid w:val="28E6767A"/>
    <w:rsid w:val="28FF4511"/>
    <w:rsid w:val="29013D89"/>
    <w:rsid w:val="29181A24"/>
    <w:rsid w:val="2948051C"/>
    <w:rsid w:val="29480DDB"/>
    <w:rsid w:val="297C59C4"/>
    <w:rsid w:val="29882A48"/>
    <w:rsid w:val="29A04D82"/>
    <w:rsid w:val="29B67C8A"/>
    <w:rsid w:val="2A2F2830"/>
    <w:rsid w:val="2A3E70CF"/>
    <w:rsid w:val="2A4C5498"/>
    <w:rsid w:val="2A5A59C2"/>
    <w:rsid w:val="2A6E58CE"/>
    <w:rsid w:val="2AAA2F9A"/>
    <w:rsid w:val="2AE20A5D"/>
    <w:rsid w:val="2B073965"/>
    <w:rsid w:val="2B0917D9"/>
    <w:rsid w:val="2B12703E"/>
    <w:rsid w:val="2B2357DF"/>
    <w:rsid w:val="2B813C32"/>
    <w:rsid w:val="2B8F75E8"/>
    <w:rsid w:val="2BA3637B"/>
    <w:rsid w:val="2BD22C04"/>
    <w:rsid w:val="2BD322AC"/>
    <w:rsid w:val="2BD74AB3"/>
    <w:rsid w:val="2BF266BF"/>
    <w:rsid w:val="2BFE5227"/>
    <w:rsid w:val="2C1604A7"/>
    <w:rsid w:val="2C231999"/>
    <w:rsid w:val="2C4E3107"/>
    <w:rsid w:val="2C52044C"/>
    <w:rsid w:val="2C5F394E"/>
    <w:rsid w:val="2C675611"/>
    <w:rsid w:val="2C706C39"/>
    <w:rsid w:val="2C8261DB"/>
    <w:rsid w:val="2C8B5BCF"/>
    <w:rsid w:val="2CC31B0E"/>
    <w:rsid w:val="2CCC4875"/>
    <w:rsid w:val="2CF454DC"/>
    <w:rsid w:val="2CF8713E"/>
    <w:rsid w:val="2D082170"/>
    <w:rsid w:val="2D28345F"/>
    <w:rsid w:val="2D383018"/>
    <w:rsid w:val="2D3D2B5A"/>
    <w:rsid w:val="2D461A23"/>
    <w:rsid w:val="2D6B7FBB"/>
    <w:rsid w:val="2D7176B8"/>
    <w:rsid w:val="2D7560A2"/>
    <w:rsid w:val="2D8269DB"/>
    <w:rsid w:val="2DA410EF"/>
    <w:rsid w:val="2DB0794D"/>
    <w:rsid w:val="2DBB0C70"/>
    <w:rsid w:val="2DDF2033"/>
    <w:rsid w:val="2E083F03"/>
    <w:rsid w:val="2E2422AA"/>
    <w:rsid w:val="2E37087C"/>
    <w:rsid w:val="2E775BB3"/>
    <w:rsid w:val="2E7806D6"/>
    <w:rsid w:val="2E7D6134"/>
    <w:rsid w:val="2E84348E"/>
    <w:rsid w:val="2E860587"/>
    <w:rsid w:val="2EA344ED"/>
    <w:rsid w:val="2EAC7896"/>
    <w:rsid w:val="2ED41184"/>
    <w:rsid w:val="2ED555A0"/>
    <w:rsid w:val="2EE31DCA"/>
    <w:rsid w:val="2F0515FD"/>
    <w:rsid w:val="2F1276A2"/>
    <w:rsid w:val="2F137289"/>
    <w:rsid w:val="2F291EFC"/>
    <w:rsid w:val="2F37083D"/>
    <w:rsid w:val="2F3C4905"/>
    <w:rsid w:val="2F410D0F"/>
    <w:rsid w:val="2F560B59"/>
    <w:rsid w:val="2F583599"/>
    <w:rsid w:val="2F5F53F2"/>
    <w:rsid w:val="2F715851"/>
    <w:rsid w:val="2F771504"/>
    <w:rsid w:val="2F9264A0"/>
    <w:rsid w:val="2F9F30CB"/>
    <w:rsid w:val="2FCA23DA"/>
    <w:rsid w:val="2FFC24A8"/>
    <w:rsid w:val="300D19C9"/>
    <w:rsid w:val="30196228"/>
    <w:rsid w:val="30210109"/>
    <w:rsid w:val="30575098"/>
    <w:rsid w:val="30A71CF9"/>
    <w:rsid w:val="30B15593"/>
    <w:rsid w:val="310D1A91"/>
    <w:rsid w:val="31826669"/>
    <w:rsid w:val="318E3B9B"/>
    <w:rsid w:val="31B80996"/>
    <w:rsid w:val="31BF47A4"/>
    <w:rsid w:val="31DA7588"/>
    <w:rsid w:val="31E4346B"/>
    <w:rsid w:val="31E73A5D"/>
    <w:rsid w:val="32291D31"/>
    <w:rsid w:val="32576CBF"/>
    <w:rsid w:val="326D3EC2"/>
    <w:rsid w:val="32997363"/>
    <w:rsid w:val="329C1408"/>
    <w:rsid w:val="32CF51F7"/>
    <w:rsid w:val="32DF294D"/>
    <w:rsid w:val="33023430"/>
    <w:rsid w:val="33221A40"/>
    <w:rsid w:val="33507A7E"/>
    <w:rsid w:val="335D114E"/>
    <w:rsid w:val="3387449A"/>
    <w:rsid w:val="338B1D74"/>
    <w:rsid w:val="33C268FA"/>
    <w:rsid w:val="33D426FF"/>
    <w:rsid w:val="33E505BB"/>
    <w:rsid w:val="33F84252"/>
    <w:rsid w:val="341B1D11"/>
    <w:rsid w:val="345B4B12"/>
    <w:rsid w:val="34640C65"/>
    <w:rsid w:val="34752226"/>
    <w:rsid w:val="34A60E6B"/>
    <w:rsid w:val="34B8177F"/>
    <w:rsid w:val="34BE2AB7"/>
    <w:rsid w:val="34BF6E27"/>
    <w:rsid w:val="34D952C0"/>
    <w:rsid w:val="34E34BC4"/>
    <w:rsid w:val="34EB79F8"/>
    <w:rsid w:val="34F37CA3"/>
    <w:rsid w:val="35235410"/>
    <w:rsid w:val="356506C1"/>
    <w:rsid w:val="35680FBE"/>
    <w:rsid w:val="35722EA6"/>
    <w:rsid w:val="35883252"/>
    <w:rsid w:val="35A03193"/>
    <w:rsid w:val="35D443A2"/>
    <w:rsid w:val="35DB32F2"/>
    <w:rsid w:val="35EB6FA6"/>
    <w:rsid w:val="36132330"/>
    <w:rsid w:val="36183E2C"/>
    <w:rsid w:val="361A7BA1"/>
    <w:rsid w:val="36217B47"/>
    <w:rsid w:val="36680482"/>
    <w:rsid w:val="36BA0AFC"/>
    <w:rsid w:val="36CE785E"/>
    <w:rsid w:val="36D45AB9"/>
    <w:rsid w:val="36E62F3E"/>
    <w:rsid w:val="370761DE"/>
    <w:rsid w:val="37267B4E"/>
    <w:rsid w:val="37450978"/>
    <w:rsid w:val="375F1552"/>
    <w:rsid w:val="37786690"/>
    <w:rsid w:val="37963E4D"/>
    <w:rsid w:val="379F5287"/>
    <w:rsid w:val="37A574CD"/>
    <w:rsid w:val="37D844C2"/>
    <w:rsid w:val="37DA41AF"/>
    <w:rsid w:val="37EB66B1"/>
    <w:rsid w:val="38392C03"/>
    <w:rsid w:val="38697FAD"/>
    <w:rsid w:val="38B34E96"/>
    <w:rsid w:val="38DF5C6C"/>
    <w:rsid w:val="392426E5"/>
    <w:rsid w:val="3933689B"/>
    <w:rsid w:val="394421FD"/>
    <w:rsid w:val="39673821"/>
    <w:rsid w:val="39AC734B"/>
    <w:rsid w:val="39B429E7"/>
    <w:rsid w:val="39C96289"/>
    <w:rsid w:val="39D148D2"/>
    <w:rsid w:val="39D3568F"/>
    <w:rsid w:val="39EE3282"/>
    <w:rsid w:val="39FC5E2F"/>
    <w:rsid w:val="3A10037E"/>
    <w:rsid w:val="3A1C3721"/>
    <w:rsid w:val="3A2E5554"/>
    <w:rsid w:val="3A310DCB"/>
    <w:rsid w:val="3A436E5E"/>
    <w:rsid w:val="3AA924A2"/>
    <w:rsid w:val="3AB05A37"/>
    <w:rsid w:val="3AB42577"/>
    <w:rsid w:val="3ACF7EB3"/>
    <w:rsid w:val="3ADA779E"/>
    <w:rsid w:val="3AE73671"/>
    <w:rsid w:val="3AF14AAB"/>
    <w:rsid w:val="3B0A37DC"/>
    <w:rsid w:val="3B0B6A0E"/>
    <w:rsid w:val="3B161502"/>
    <w:rsid w:val="3B2E48AE"/>
    <w:rsid w:val="3B383EE3"/>
    <w:rsid w:val="3B495853"/>
    <w:rsid w:val="3B7D5982"/>
    <w:rsid w:val="3B8E6461"/>
    <w:rsid w:val="3BE36EE6"/>
    <w:rsid w:val="3C03310F"/>
    <w:rsid w:val="3C1554AA"/>
    <w:rsid w:val="3C2A1EB6"/>
    <w:rsid w:val="3C5E715D"/>
    <w:rsid w:val="3C681D8A"/>
    <w:rsid w:val="3C71632C"/>
    <w:rsid w:val="3C721710"/>
    <w:rsid w:val="3C9E2179"/>
    <w:rsid w:val="3C9F509C"/>
    <w:rsid w:val="3CB177AD"/>
    <w:rsid w:val="3CD32C24"/>
    <w:rsid w:val="3CD92F6F"/>
    <w:rsid w:val="3D0A2787"/>
    <w:rsid w:val="3D130640"/>
    <w:rsid w:val="3D337E4D"/>
    <w:rsid w:val="3D3A4720"/>
    <w:rsid w:val="3D3D2564"/>
    <w:rsid w:val="3D873D9F"/>
    <w:rsid w:val="3DF73F3F"/>
    <w:rsid w:val="3DFD7F58"/>
    <w:rsid w:val="3E104A74"/>
    <w:rsid w:val="3E280477"/>
    <w:rsid w:val="3E2D070E"/>
    <w:rsid w:val="3E2D109C"/>
    <w:rsid w:val="3E490973"/>
    <w:rsid w:val="3E6B790F"/>
    <w:rsid w:val="3E7D509A"/>
    <w:rsid w:val="3E8379BC"/>
    <w:rsid w:val="3E8A6A89"/>
    <w:rsid w:val="3E911F01"/>
    <w:rsid w:val="3EAF4718"/>
    <w:rsid w:val="3EC1B1F2"/>
    <w:rsid w:val="3ECB6CE4"/>
    <w:rsid w:val="3ED66B19"/>
    <w:rsid w:val="3EDC6959"/>
    <w:rsid w:val="3EF52D4E"/>
    <w:rsid w:val="3EFD378D"/>
    <w:rsid w:val="3EFE27E6"/>
    <w:rsid w:val="3F012E42"/>
    <w:rsid w:val="3F137C6E"/>
    <w:rsid w:val="3F1E3AE7"/>
    <w:rsid w:val="3F562BDE"/>
    <w:rsid w:val="3F610F42"/>
    <w:rsid w:val="3F6552E3"/>
    <w:rsid w:val="3F6D11B5"/>
    <w:rsid w:val="3F763E8A"/>
    <w:rsid w:val="3FAF1C5E"/>
    <w:rsid w:val="3FC67C78"/>
    <w:rsid w:val="3FCF4352"/>
    <w:rsid w:val="3FD071CF"/>
    <w:rsid w:val="3FFE0182"/>
    <w:rsid w:val="40484D4E"/>
    <w:rsid w:val="408520FF"/>
    <w:rsid w:val="40AB1015"/>
    <w:rsid w:val="40B55E9B"/>
    <w:rsid w:val="40EE47C9"/>
    <w:rsid w:val="412C32A8"/>
    <w:rsid w:val="41403CE7"/>
    <w:rsid w:val="41543AF3"/>
    <w:rsid w:val="41910547"/>
    <w:rsid w:val="419A52D7"/>
    <w:rsid w:val="41B94595"/>
    <w:rsid w:val="41C5138D"/>
    <w:rsid w:val="41DB259F"/>
    <w:rsid w:val="422E6F16"/>
    <w:rsid w:val="4235748F"/>
    <w:rsid w:val="423D33F8"/>
    <w:rsid w:val="425E4963"/>
    <w:rsid w:val="429978A1"/>
    <w:rsid w:val="429F7E20"/>
    <w:rsid w:val="42A24BF2"/>
    <w:rsid w:val="42B5434D"/>
    <w:rsid w:val="42BF53BC"/>
    <w:rsid w:val="42DB07D5"/>
    <w:rsid w:val="42DF39D7"/>
    <w:rsid w:val="42F103AC"/>
    <w:rsid w:val="42F77CAD"/>
    <w:rsid w:val="431F6F1A"/>
    <w:rsid w:val="433A293B"/>
    <w:rsid w:val="434F22BD"/>
    <w:rsid w:val="43896B45"/>
    <w:rsid w:val="43EA755F"/>
    <w:rsid w:val="440E1874"/>
    <w:rsid w:val="44245BB1"/>
    <w:rsid w:val="44906204"/>
    <w:rsid w:val="44925CD1"/>
    <w:rsid w:val="44A51755"/>
    <w:rsid w:val="44AB239E"/>
    <w:rsid w:val="44C23970"/>
    <w:rsid w:val="44F42715"/>
    <w:rsid w:val="451168D9"/>
    <w:rsid w:val="454F7FB4"/>
    <w:rsid w:val="455D1892"/>
    <w:rsid w:val="457D70FF"/>
    <w:rsid w:val="457E6060"/>
    <w:rsid w:val="45A749DF"/>
    <w:rsid w:val="45C40DD7"/>
    <w:rsid w:val="45F944D5"/>
    <w:rsid w:val="45FA69B7"/>
    <w:rsid w:val="462C5BD6"/>
    <w:rsid w:val="46E44703"/>
    <w:rsid w:val="46E6420C"/>
    <w:rsid w:val="47161B57"/>
    <w:rsid w:val="472124E2"/>
    <w:rsid w:val="47253CAC"/>
    <w:rsid w:val="47585FFB"/>
    <w:rsid w:val="4767208D"/>
    <w:rsid w:val="477D0CFD"/>
    <w:rsid w:val="479E0CC0"/>
    <w:rsid w:val="47A25448"/>
    <w:rsid w:val="47C12F4F"/>
    <w:rsid w:val="47EF210A"/>
    <w:rsid w:val="47FA6835"/>
    <w:rsid w:val="481236DA"/>
    <w:rsid w:val="481E7681"/>
    <w:rsid w:val="4873446A"/>
    <w:rsid w:val="48C84BDD"/>
    <w:rsid w:val="48D57033"/>
    <w:rsid w:val="48D975E1"/>
    <w:rsid w:val="48E74877"/>
    <w:rsid w:val="48ED1BD8"/>
    <w:rsid w:val="493F7B37"/>
    <w:rsid w:val="49550DCD"/>
    <w:rsid w:val="49701FCB"/>
    <w:rsid w:val="498114A1"/>
    <w:rsid w:val="49AF6E4B"/>
    <w:rsid w:val="49BF0486"/>
    <w:rsid w:val="49CB714D"/>
    <w:rsid w:val="4A144F13"/>
    <w:rsid w:val="4A2F25E0"/>
    <w:rsid w:val="4A33354F"/>
    <w:rsid w:val="4A510DAC"/>
    <w:rsid w:val="4AAE2F6C"/>
    <w:rsid w:val="4AE73B44"/>
    <w:rsid w:val="4AF112ED"/>
    <w:rsid w:val="4AFC3273"/>
    <w:rsid w:val="4B021421"/>
    <w:rsid w:val="4B247C60"/>
    <w:rsid w:val="4B2C1F00"/>
    <w:rsid w:val="4B762064"/>
    <w:rsid w:val="4B7B063B"/>
    <w:rsid w:val="4B8D52F1"/>
    <w:rsid w:val="4BD43D5E"/>
    <w:rsid w:val="4BD95C5F"/>
    <w:rsid w:val="4BDC5176"/>
    <w:rsid w:val="4C1A252B"/>
    <w:rsid w:val="4C517B42"/>
    <w:rsid w:val="4C532882"/>
    <w:rsid w:val="4CAA3A8B"/>
    <w:rsid w:val="4CF44423"/>
    <w:rsid w:val="4D183358"/>
    <w:rsid w:val="4D243EC3"/>
    <w:rsid w:val="4D294614"/>
    <w:rsid w:val="4D3E2740"/>
    <w:rsid w:val="4D48526E"/>
    <w:rsid w:val="4D5A056F"/>
    <w:rsid w:val="4D5A2FDD"/>
    <w:rsid w:val="4EA5690A"/>
    <w:rsid w:val="4EDB7064"/>
    <w:rsid w:val="4EDF42A0"/>
    <w:rsid w:val="4EE31DA7"/>
    <w:rsid w:val="4F217FF2"/>
    <w:rsid w:val="4F5E5EA5"/>
    <w:rsid w:val="4F6836C1"/>
    <w:rsid w:val="4F7F6246"/>
    <w:rsid w:val="4F9D3436"/>
    <w:rsid w:val="4FAE5CA2"/>
    <w:rsid w:val="4FCB01C4"/>
    <w:rsid w:val="4FCC0A7B"/>
    <w:rsid w:val="4FD76240"/>
    <w:rsid w:val="4FDA60BB"/>
    <w:rsid w:val="4FE65817"/>
    <w:rsid w:val="4FFD0A1C"/>
    <w:rsid w:val="502E0946"/>
    <w:rsid w:val="503E3008"/>
    <w:rsid w:val="50493554"/>
    <w:rsid w:val="50782D9B"/>
    <w:rsid w:val="50886256"/>
    <w:rsid w:val="511C1D4E"/>
    <w:rsid w:val="5131591E"/>
    <w:rsid w:val="51442E28"/>
    <w:rsid w:val="514F4886"/>
    <w:rsid w:val="516E36C8"/>
    <w:rsid w:val="51AD4EB6"/>
    <w:rsid w:val="51B240D4"/>
    <w:rsid w:val="51C92E73"/>
    <w:rsid w:val="51ED3D2F"/>
    <w:rsid w:val="52151DC4"/>
    <w:rsid w:val="52736B7B"/>
    <w:rsid w:val="527D3C68"/>
    <w:rsid w:val="52B906C5"/>
    <w:rsid w:val="52C8137C"/>
    <w:rsid w:val="52D511DA"/>
    <w:rsid w:val="52E4488F"/>
    <w:rsid w:val="52FF5BAF"/>
    <w:rsid w:val="53287770"/>
    <w:rsid w:val="533062CB"/>
    <w:rsid w:val="5371057A"/>
    <w:rsid w:val="539D6A32"/>
    <w:rsid w:val="53D30ED9"/>
    <w:rsid w:val="53F8220A"/>
    <w:rsid w:val="546A1DE1"/>
    <w:rsid w:val="54752F3A"/>
    <w:rsid w:val="547B65FF"/>
    <w:rsid w:val="54A85BBB"/>
    <w:rsid w:val="54B33157"/>
    <w:rsid w:val="54C10128"/>
    <w:rsid w:val="54DC46AD"/>
    <w:rsid w:val="55151A02"/>
    <w:rsid w:val="55331C71"/>
    <w:rsid w:val="553D2F2F"/>
    <w:rsid w:val="55AD61CF"/>
    <w:rsid w:val="55C40A88"/>
    <w:rsid w:val="562B627C"/>
    <w:rsid w:val="564B703A"/>
    <w:rsid w:val="56556332"/>
    <w:rsid w:val="56A91341"/>
    <w:rsid w:val="56E831C5"/>
    <w:rsid w:val="57036C8C"/>
    <w:rsid w:val="570A1044"/>
    <w:rsid w:val="57346136"/>
    <w:rsid w:val="574C0A10"/>
    <w:rsid w:val="57872ADE"/>
    <w:rsid w:val="57953B48"/>
    <w:rsid w:val="57A554C8"/>
    <w:rsid w:val="57CD05C4"/>
    <w:rsid w:val="57D31FE7"/>
    <w:rsid w:val="583A419A"/>
    <w:rsid w:val="585B28A3"/>
    <w:rsid w:val="588E0C84"/>
    <w:rsid w:val="58A13A02"/>
    <w:rsid w:val="58CF3072"/>
    <w:rsid w:val="58FC31E9"/>
    <w:rsid w:val="59074AE1"/>
    <w:rsid w:val="59304F86"/>
    <w:rsid w:val="593C217C"/>
    <w:rsid w:val="595777A9"/>
    <w:rsid w:val="59614509"/>
    <w:rsid w:val="59810CBA"/>
    <w:rsid w:val="599274F2"/>
    <w:rsid w:val="59995EFA"/>
    <w:rsid w:val="59A734E2"/>
    <w:rsid w:val="59B63DE9"/>
    <w:rsid w:val="59D4485B"/>
    <w:rsid w:val="59D96479"/>
    <w:rsid w:val="59FD4C18"/>
    <w:rsid w:val="5A505D5F"/>
    <w:rsid w:val="5A5C5006"/>
    <w:rsid w:val="5A873712"/>
    <w:rsid w:val="5A8B5D27"/>
    <w:rsid w:val="5A9326B5"/>
    <w:rsid w:val="5A933F5E"/>
    <w:rsid w:val="5AC334FC"/>
    <w:rsid w:val="5B053ABB"/>
    <w:rsid w:val="5B110DFB"/>
    <w:rsid w:val="5B5E7F72"/>
    <w:rsid w:val="5B692A44"/>
    <w:rsid w:val="5B8C3CAB"/>
    <w:rsid w:val="5B9F55D1"/>
    <w:rsid w:val="5BC20CFE"/>
    <w:rsid w:val="5BD73BB2"/>
    <w:rsid w:val="5BF05B32"/>
    <w:rsid w:val="5BF2480D"/>
    <w:rsid w:val="5BF4444B"/>
    <w:rsid w:val="5C5F223E"/>
    <w:rsid w:val="5C605D6A"/>
    <w:rsid w:val="5CB34722"/>
    <w:rsid w:val="5D0C7800"/>
    <w:rsid w:val="5D1016C8"/>
    <w:rsid w:val="5D3B2069"/>
    <w:rsid w:val="5D445114"/>
    <w:rsid w:val="5D4D799B"/>
    <w:rsid w:val="5D4F038C"/>
    <w:rsid w:val="5D7077D2"/>
    <w:rsid w:val="5D812B09"/>
    <w:rsid w:val="5D917613"/>
    <w:rsid w:val="5DEA03F9"/>
    <w:rsid w:val="5E187278"/>
    <w:rsid w:val="5E1E290C"/>
    <w:rsid w:val="5E223590"/>
    <w:rsid w:val="5E53221E"/>
    <w:rsid w:val="5E5C71A1"/>
    <w:rsid w:val="5E611153"/>
    <w:rsid w:val="5EAF79E8"/>
    <w:rsid w:val="5EFF0581"/>
    <w:rsid w:val="5F254644"/>
    <w:rsid w:val="5F2E05F3"/>
    <w:rsid w:val="5F424221"/>
    <w:rsid w:val="5F5FCD16"/>
    <w:rsid w:val="5F636863"/>
    <w:rsid w:val="5F9350A3"/>
    <w:rsid w:val="5FAB7523"/>
    <w:rsid w:val="5FB84140"/>
    <w:rsid w:val="5FBB19C0"/>
    <w:rsid w:val="60034089"/>
    <w:rsid w:val="600E406E"/>
    <w:rsid w:val="60453886"/>
    <w:rsid w:val="605D0979"/>
    <w:rsid w:val="60676529"/>
    <w:rsid w:val="608D7746"/>
    <w:rsid w:val="60906568"/>
    <w:rsid w:val="60C64A42"/>
    <w:rsid w:val="60CA4B19"/>
    <w:rsid w:val="60E66710"/>
    <w:rsid w:val="61442B4A"/>
    <w:rsid w:val="61471017"/>
    <w:rsid w:val="61576BC5"/>
    <w:rsid w:val="61702F74"/>
    <w:rsid w:val="61707273"/>
    <w:rsid w:val="61745773"/>
    <w:rsid w:val="618628F3"/>
    <w:rsid w:val="61953BF0"/>
    <w:rsid w:val="61A30089"/>
    <w:rsid w:val="61BD6E81"/>
    <w:rsid w:val="61CE48A7"/>
    <w:rsid w:val="61ED0038"/>
    <w:rsid w:val="6295470F"/>
    <w:rsid w:val="62F14C84"/>
    <w:rsid w:val="62FD3CCB"/>
    <w:rsid w:val="630256B8"/>
    <w:rsid w:val="63035AB9"/>
    <w:rsid w:val="63163677"/>
    <w:rsid w:val="63324FE3"/>
    <w:rsid w:val="63BE0B54"/>
    <w:rsid w:val="63F6290D"/>
    <w:rsid w:val="6409074D"/>
    <w:rsid w:val="644C4A6F"/>
    <w:rsid w:val="6450672C"/>
    <w:rsid w:val="646216E5"/>
    <w:rsid w:val="646B5019"/>
    <w:rsid w:val="648B0431"/>
    <w:rsid w:val="64A56E80"/>
    <w:rsid w:val="64AA59A8"/>
    <w:rsid w:val="64CD50D2"/>
    <w:rsid w:val="64E242E7"/>
    <w:rsid w:val="64E2762F"/>
    <w:rsid w:val="652A17DC"/>
    <w:rsid w:val="655D5954"/>
    <w:rsid w:val="6587477F"/>
    <w:rsid w:val="6598166E"/>
    <w:rsid w:val="65C110C3"/>
    <w:rsid w:val="65D8622F"/>
    <w:rsid w:val="66091A2D"/>
    <w:rsid w:val="66142857"/>
    <w:rsid w:val="661B1E17"/>
    <w:rsid w:val="661F7482"/>
    <w:rsid w:val="662959B8"/>
    <w:rsid w:val="663B13AF"/>
    <w:rsid w:val="66401908"/>
    <w:rsid w:val="66466380"/>
    <w:rsid w:val="66566C40"/>
    <w:rsid w:val="66FC082A"/>
    <w:rsid w:val="67156996"/>
    <w:rsid w:val="67226403"/>
    <w:rsid w:val="6728574B"/>
    <w:rsid w:val="674B3C4D"/>
    <w:rsid w:val="677D7188"/>
    <w:rsid w:val="67EE210A"/>
    <w:rsid w:val="68275886"/>
    <w:rsid w:val="6841606D"/>
    <w:rsid w:val="68960459"/>
    <w:rsid w:val="68B30E3D"/>
    <w:rsid w:val="68D73060"/>
    <w:rsid w:val="68F6379E"/>
    <w:rsid w:val="68FB67B3"/>
    <w:rsid w:val="690B2928"/>
    <w:rsid w:val="691515D5"/>
    <w:rsid w:val="69430183"/>
    <w:rsid w:val="6981060A"/>
    <w:rsid w:val="69833C19"/>
    <w:rsid w:val="69A83FE2"/>
    <w:rsid w:val="69C54460"/>
    <w:rsid w:val="69C67F6C"/>
    <w:rsid w:val="69CC0CC9"/>
    <w:rsid w:val="69EC629E"/>
    <w:rsid w:val="6A055495"/>
    <w:rsid w:val="6A096548"/>
    <w:rsid w:val="6A0D3CE0"/>
    <w:rsid w:val="6A113274"/>
    <w:rsid w:val="6A397108"/>
    <w:rsid w:val="6A517B72"/>
    <w:rsid w:val="6A6970FB"/>
    <w:rsid w:val="6A6B413B"/>
    <w:rsid w:val="6A83317A"/>
    <w:rsid w:val="6A8B6BE1"/>
    <w:rsid w:val="6A8E0A95"/>
    <w:rsid w:val="6AE924D9"/>
    <w:rsid w:val="6AF74ADA"/>
    <w:rsid w:val="6B0616D0"/>
    <w:rsid w:val="6B4B5227"/>
    <w:rsid w:val="6B5E6668"/>
    <w:rsid w:val="6BC26511"/>
    <w:rsid w:val="6C0B6E2D"/>
    <w:rsid w:val="6C204588"/>
    <w:rsid w:val="6C274975"/>
    <w:rsid w:val="6C490829"/>
    <w:rsid w:val="6C6972C3"/>
    <w:rsid w:val="6C6E052F"/>
    <w:rsid w:val="6C9A6726"/>
    <w:rsid w:val="6CF34F4C"/>
    <w:rsid w:val="6CF96A8F"/>
    <w:rsid w:val="6D0B7898"/>
    <w:rsid w:val="6DC411EF"/>
    <w:rsid w:val="6DC90E8E"/>
    <w:rsid w:val="6DDE7739"/>
    <w:rsid w:val="6E1B0031"/>
    <w:rsid w:val="6E224557"/>
    <w:rsid w:val="6E264120"/>
    <w:rsid w:val="6E36691F"/>
    <w:rsid w:val="6EA011E5"/>
    <w:rsid w:val="6EA213FF"/>
    <w:rsid w:val="6ED150DB"/>
    <w:rsid w:val="6F04611A"/>
    <w:rsid w:val="6F1839C5"/>
    <w:rsid w:val="6F211A52"/>
    <w:rsid w:val="6F22730B"/>
    <w:rsid w:val="6F38060B"/>
    <w:rsid w:val="6F433A2D"/>
    <w:rsid w:val="6F4B64B1"/>
    <w:rsid w:val="6F765629"/>
    <w:rsid w:val="6F946440"/>
    <w:rsid w:val="6FF8547D"/>
    <w:rsid w:val="70042770"/>
    <w:rsid w:val="70445B75"/>
    <w:rsid w:val="704C6B3C"/>
    <w:rsid w:val="706E68C9"/>
    <w:rsid w:val="70B16AB4"/>
    <w:rsid w:val="70D10A83"/>
    <w:rsid w:val="70D52EC2"/>
    <w:rsid w:val="70D94566"/>
    <w:rsid w:val="70E96B1C"/>
    <w:rsid w:val="70F53C23"/>
    <w:rsid w:val="71381E01"/>
    <w:rsid w:val="71437A1A"/>
    <w:rsid w:val="718D52D0"/>
    <w:rsid w:val="718F6F0B"/>
    <w:rsid w:val="71B3098E"/>
    <w:rsid w:val="71C41F2C"/>
    <w:rsid w:val="71CC446C"/>
    <w:rsid w:val="72413DB7"/>
    <w:rsid w:val="72490F84"/>
    <w:rsid w:val="726C5859"/>
    <w:rsid w:val="72A2525B"/>
    <w:rsid w:val="72DA5A2A"/>
    <w:rsid w:val="7317089F"/>
    <w:rsid w:val="732937ED"/>
    <w:rsid w:val="733E1214"/>
    <w:rsid w:val="734B668D"/>
    <w:rsid w:val="73613D75"/>
    <w:rsid w:val="736C3CDC"/>
    <w:rsid w:val="7384507A"/>
    <w:rsid w:val="73A14C9F"/>
    <w:rsid w:val="73BF667E"/>
    <w:rsid w:val="73C33BBC"/>
    <w:rsid w:val="73F5324E"/>
    <w:rsid w:val="74015728"/>
    <w:rsid w:val="74557100"/>
    <w:rsid w:val="74841889"/>
    <w:rsid w:val="749146B9"/>
    <w:rsid w:val="74BC4DAA"/>
    <w:rsid w:val="74C7020B"/>
    <w:rsid w:val="751C5F0A"/>
    <w:rsid w:val="75386FD7"/>
    <w:rsid w:val="753F38A4"/>
    <w:rsid w:val="755362AF"/>
    <w:rsid w:val="75540291"/>
    <w:rsid w:val="75651395"/>
    <w:rsid w:val="75C272EB"/>
    <w:rsid w:val="75DE1638"/>
    <w:rsid w:val="76391AC6"/>
    <w:rsid w:val="763C6318"/>
    <w:rsid w:val="766E0C97"/>
    <w:rsid w:val="76DD1084"/>
    <w:rsid w:val="7737299B"/>
    <w:rsid w:val="77444F6C"/>
    <w:rsid w:val="777A1E9C"/>
    <w:rsid w:val="779621FF"/>
    <w:rsid w:val="77B21002"/>
    <w:rsid w:val="77DC497B"/>
    <w:rsid w:val="77F008AA"/>
    <w:rsid w:val="77FFE9DB"/>
    <w:rsid w:val="780057F1"/>
    <w:rsid w:val="78595974"/>
    <w:rsid w:val="78713C57"/>
    <w:rsid w:val="78791435"/>
    <w:rsid w:val="78967722"/>
    <w:rsid w:val="78AC39C0"/>
    <w:rsid w:val="78B727AA"/>
    <w:rsid w:val="78F260B0"/>
    <w:rsid w:val="79056FC4"/>
    <w:rsid w:val="791660EE"/>
    <w:rsid w:val="79251814"/>
    <w:rsid w:val="79397BC1"/>
    <w:rsid w:val="794635CB"/>
    <w:rsid w:val="79B55B07"/>
    <w:rsid w:val="79CF3901"/>
    <w:rsid w:val="79E547E6"/>
    <w:rsid w:val="79ED6A1A"/>
    <w:rsid w:val="7A04706E"/>
    <w:rsid w:val="7A237AEF"/>
    <w:rsid w:val="7A801E05"/>
    <w:rsid w:val="7A876FC7"/>
    <w:rsid w:val="7A962CF6"/>
    <w:rsid w:val="7AD53E3F"/>
    <w:rsid w:val="7B0A03FC"/>
    <w:rsid w:val="7B224F12"/>
    <w:rsid w:val="7B2278BF"/>
    <w:rsid w:val="7B2734D6"/>
    <w:rsid w:val="7B305123"/>
    <w:rsid w:val="7B336BC3"/>
    <w:rsid w:val="7B5E1EB2"/>
    <w:rsid w:val="7B6F37C3"/>
    <w:rsid w:val="7B79747F"/>
    <w:rsid w:val="7B844743"/>
    <w:rsid w:val="7B9219AC"/>
    <w:rsid w:val="7B99392F"/>
    <w:rsid w:val="7BCD042F"/>
    <w:rsid w:val="7BD94E8E"/>
    <w:rsid w:val="7C363629"/>
    <w:rsid w:val="7C450021"/>
    <w:rsid w:val="7C7D7100"/>
    <w:rsid w:val="7C7F13AB"/>
    <w:rsid w:val="7C9F67E2"/>
    <w:rsid w:val="7CB531F9"/>
    <w:rsid w:val="7CFF2AFC"/>
    <w:rsid w:val="7D190F87"/>
    <w:rsid w:val="7D194E01"/>
    <w:rsid w:val="7D242E3D"/>
    <w:rsid w:val="7D3D5E5C"/>
    <w:rsid w:val="7D4922AB"/>
    <w:rsid w:val="7D5A7A8F"/>
    <w:rsid w:val="7DBF67D7"/>
    <w:rsid w:val="7DCB6A0F"/>
    <w:rsid w:val="7DF134AA"/>
    <w:rsid w:val="7E0078A2"/>
    <w:rsid w:val="7E235C8E"/>
    <w:rsid w:val="7E2779DE"/>
    <w:rsid w:val="7E376532"/>
    <w:rsid w:val="7E592E80"/>
    <w:rsid w:val="7E740F76"/>
    <w:rsid w:val="7E75B096"/>
    <w:rsid w:val="7EAF1432"/>
    <w:rsid w:val="7EB1A584"/>
    <w:rsid w:val="7EE21D64"/>
    <w:rsid w:val="7EFE397F"/>
    <w:rsid w:val="7F1F03DF"/>
    <w:rsid w:val="7F2564CD"/>
    <w:rsid w:val="7F281FE7"/>
    <w:rsid w:val="7F320E08"/>
    <w:rsid w:val="7F3C30F9"/>
    <w:rsid w:val="7F510E3B"/>
    <w:rsid w:val="7F6261D9"/>
    <w:rsid w:val="7F6D61AA"/>
    <w:rsid w:val="7F6F1D8F"/>
    <w:rsid w:val="7F8C1043"/>
    <w:rsid w:val="7F8C12DE"/>
    <w:rsid w:val="7FA14A97"/>
    <w:rsid w:val="7FAE6A85"/>
    <w:rsid w:val="7FEAC704"/>
    <w:rsid w:val="7FF7FF1D"/>
    <w:rsid w:val="9F96E71A"/>
    <w:rsid w:val="F5BE6A26"/>
    <w:rsid w:val="FAFE91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kern w:val="44"/>
      <w:szCs w:val="21"/>
    </w:rPr>
  </w:style>
  <w:style w:type="paragraph" w:styleId="5">
    <w:name w:val="heading 3"/>
    <w:basedOn w:val="1"/>
    <w:next w:val="1"/>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w:basedOn w:val="1"/>
    <w:next w:val="3"/>
    <w:uiPriority w:val="0"/>
    <w:pPr>
      <w:spacing w:before="0" w:after="140" w:line="276" w:lineRule="auto"/>
    </w:p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Indent"/>
    <w:basedOn w:val="1"/>
    <w:next w:val="7"/>
    <w:qFormat/>
    <w:uiPriority w:val="0"/>
    <w:pPr>
      <w:ind w:firstLine="420"/>
    </w:pPr>
    <w:rPr>
      <w:rFonts w:ascii="Times New Roman" w:hAnsi="Times New Roman" w:eastAsia="宋体" w:cs="Times New Roman"/>
      <w:szCs w:val="20"/>
    </w:rPr>
  </w:style>
  <w:style w:type="paragraph" w:styleId="7">
    <w:name w:val="Body Text Indent"/>
    <w:basedOn w:val="1"/>
    <w:next w:val="6"/>
    <w:qFormat/>
    <w:uiPriority w:val="0"/>
    <w:pPr>
      <w:spacing w:after="120"/>
      <w:ind w:left="420" w:leftChars="200"/>
    </w:pPr>
  </w:style>
  <w:style w:type="paragraph" w:styleId="8">
    <w:name w:val="annotation text"/>
    <w:basedOn w:val="1"/>
    <w:qFormat/>
    <w:uiPriority w:val="0"/>
    <w:pPr>
      <w:jc w:val="left"/>
    </w:pPr>
  </w:style>
  <w:style w:type="paragraph" w:styleId="9">
    <w:name w:val="footer"/>
    <w:basedOn w:val="1"/>
    <w:qFormat/>
    <w:uiPriority w:val="0"/>
    <w:pPr>
      <w:tabs>
        <w:tab w:val="center" w:pos="4153"/>
        <w:tab w:val="right" w:pos="8306"/>
      </w:tabs>
      <w:snapToGrid w:val="0"/>
      <w:jc w:val="left"/>
    </w:pPr>
    <w:rPr>
      <w:sz w:val="18"/>
    </w:rPr>
  </w:style>
  <w:style w:type="paragraph" w:styleId="10">
    <w:name w:val="Normal (Web)"/>
    <w:basedOn w:val="1"/>
    <w:qFormat/>
    <w:uiPriority w:val="0"/>
    <w:pPr>
      <w:spacing w:beforeAutospacing="1" w:afterAutospacing="1"/>
      <w:jc w:val="left"/>
    </w:pPr>
    <w:rPr>
      <w:rFonts w:cs="Times New Roman"/>
      <w:kern w:val="0"/>
      <w:sz w:val="24"/>
    </w:rPr>
  </w:style>
  <w:style w:type="character" w:styleId="13">
    <w:name w:val="Strong"/>
    <w:basedOn w:val="12"/>
    <w:qFormat/>
    <w:uiPriority w:val="0"/>
    <w:rPr>
      <w:b/>
    </w:rPr>
  </w:style>
  <w:style w:type="character" w:styleId="14">
    <w:name w:val="page number"/>
    <w:basedOn w:val="12"/>
    <w:qFormat/>
    <w:uiPriority w:val="0"/>
  </w:style>
  <w:style w:type="character" w:styleId="15">
    <w:name w:val="FollowedHyperlink"/>
    <w:basedOn w:val="12"/>
    <w:qFormat/>
    <w:uiPriority w:val="0"/>
    <w:rPr>
      <w:color w:val="000000"/>
      <w:u w:val="none"/>
    </w:rPr>
  </w:style>
  <w:style w:type="character" w:styleId="16">
    <w:name w:val="Emphasis"/>
    <w:basedOn w:val="12"/>
    <w:qFormat/>
    <w:uiPriority w:val="0"/>
  </w:style>
  <w:style w:type="character" w:styleId="17">
    <w:name w:val="Hyperlink"/>
    <w:basedOn w:val="12"/>
    <w:qFormat/>
    <w:uiPriority w:val="0"/>
    <w:rPr>
      <w:color w:val="000000"/>
      <w:u w:val="none"/>
    </w:rPr>
  </w:style>
  <w:style w:type="character" w:customStyle="1" w:styleId="18">
    <w:name w:val="hover33"/>
    <w:basedOn w:val="12"/>
    <w:qFormat/>
    <w:uiPriority w:val="0"/>
    <w:rPr>
      <w:color w:val="FFFFFF"/>
      <w:bdr w:val="single" w:color="5294E5" w:sz="6" w:space="0"/>
      <w:shd w:val="clear" w:color="auto" w:fill="5294E5"/>
    </w:rPr>
  </w:style>
  <w:style w:type="character" w:customStyle="1" w:styleId="19">
    <w:name w:val="first-child1"/>
    <w:basedOn w:val="12"/>
    <w:qFormat/>
    <w:uiPriority w:val="0"/>
  </w:style>
  <w:style w:type="character" w:customStyle="1" w:styleId="20">
    <w:name w:val="z-crt1"/>
    <w:basedOn w:val="12"/>
    <w:qFormat/>
    <w:uiPriority w:val="0"/>
    <w:rPr>
      <w:color w:val="FFFFFF"/>
      <w:bdr w:val="single" w:color="5294E5" w:sz="6" w:space="0"/>
      <w:shd w:val="clear" w:color="auto" w:fill="5294E5"/>
    </w:rPr>
  </w:style>
  <w:style w:type="character" w:customStyle="1" w:styleId="21">
    <w:name w:val="z-crt2"/>
    <w:basedOn w:val="12"/>
    <w:qFormat/>
    <w:uiPriority w:val="0"/>
    <w:rPr>
      <w:color w:val="FFFFFF"/>
      <w:bdr w:val="single" w:color="5295E6" w:sz="6" w:space="0"/>
      <w:shd w:val="clear" w:color="auto" w:fill="5295E6"/>
    </w:rPr>
  </w:style>
  <w:style w:type="character" w:customStyle="1" w:styleId="22">
    <w:name w:val="r-search"/>
    <w:basedOn w:val="12"/>
    <w:qFormat/>
    <w:uiPriority w:val="0"/>
  </w:style>
  <w:style w:type="character" w:customStyle="1" w:styleId="23">
    <w:name w:val="r-search1"/>
    <w:basedOn w:val="12"/>
    <w:qFormat/>
    <w:uiPriority w:val="0"/>
  </w:style>
  <w:style w:type="character" w:customStyle="1" w:styleId="24">
    <w:name w:val="ewm"/>
    <w:basedOn w:val="12"/>
    <w:qFormat/>
    <w:uiPriority w:val="0"/>
  </w:style>
  <w:style w:type="character" w:customStyle="1" w:styleId="25">
    <w:name w:val="first-child"/>
    <w:basedOn w:val="12"/>
    <w:qFormat/>
    <w:uiPriority w:val="0"/>
  </w:style>
  <w:style w:type="character" w:customStyle="1" w:styleId="26">
    <w:name w:val="hover32"/>
    <w:basedOn w:val="12"/>
    <w:qFormat/>
    <w:uiPriority w:val="0"/>
    <w:rPr>
      <w:color w:val="FFFFFF"/>
      <w:bdr w:val="single" w:color="5294E5" w:sz="6" w:space="0"/>
      <w:shd w:val="clear" w:color="auto" w:fill="5294E5"/>
    </w:rPr>
  </w:style>
  <w:style w:type="paragraph" w:customStyle="1" w:styleId="27">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7794</Words>
  <Characters>8044</Characters>
  <Lines>99</Lines>
  <Paragraphs>28</Paragraphs>
  <TotalTime>3</TotalTime>
  <ScaleCrop>false</ScaleCrop>
  <LinksUpToDate>false</LinksUpToDate>
  <CharactersWithSpaces>8071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2014-11-01T12:08:00Z</dcterms:created>
  <dc:creator>DX</dc:creator>
  <cp:lastModifiedBy>CatherineGuo</cp:lastModifiedBy>
  <cp:lastPrinted>2025-04-22T02:01:00Z</cp:lastPrinted>
  <dcterms:modified xsi:type="dcterms:W3CDTF">2025-08-21T02:42:10Z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5F9DED85CD1849899F00BAE1050B7247_13</vt:lpwstr>
  </property>
  <property fmtid="{D5CDD505-2E9C-101B-9397-08002B2CF9AE}" pid="4" name="KSOTemplateDocerSaveRecord">
    <vt:lpwstr>eyJoZGlkIjoiODhjNzM3MGZiMjQwMWRlZDdhNmY5NWNjOTEzYzVhZjEiLCJ1c2VySWQiOiI3MTIzNDQ2ODUifQ==</vt:lpwstr>
  </property>
</Properties>
</file>