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rPr>
        <w:t>附件</w:t>
      </w:r>
      <w:r>
        <w:rPr>
          <w:rFonts w:hint="eastAsia" w:ascii="黑体" w:hAnsi="黑体" w:eastAsia="黑体" w:cs="黑体"/>
          <w:color w:val="auto"/>
          <w:sz w:val="32"/>
          <w:szCs w:val="32"/>
        </w:rPr>
        <w:t>2</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bCs/>
          <w:color w:val="auto"/>
          <w:sz w:val="44"/>
          <w:szCs w:val="2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Cs w:val="0"/>
          <w:color w:val="auto"/>
          <w:sz w:val="44"/>
          <w:szCs w:val="44"/>
          <w:lang w:eastAsia="zh-CN"/>
        </w:rPr>
      </w:pPr>
      <w:r>
        <w:rPr>
          <w:rFonts w:hint="default" w:ascii="方正小标宋简体" w:hAnsi="方正小标宋简体" w:eastAsia="方正小标宋简体" w:cs="方正小标宋简体"/>
          <w:bCs w:val="0"/>
          <w:color w:val="auto"/>
          <w:sz w:val="44"/>
          <w:szCs w:val="44"/>
        </w:rPr>
        <w:t>关于《</w:t>
      </w:r>
      <w:r>
        <w:rPr>
          <w:rFonts w:hint="eastAsia" w:ascii="方正小标宋简体" w:hAnsi="方正小标宋简体" w:eastAsia="方正小标宋简体" w:cs="方正小标宋简体"/>
          <w:bCs w:val="0"/>
          <w:color w:val="auto"/>
          <w:sz w:val="44"/>
          <w:szCs w:val="44"/>
          <w:lang w:eastAsia="zh-CN"/>
        </w:rPr>
        <w:t>加强大兴区政府投资项目概算管理</w:t>
      </w:r>
    </w:p>
    <w:p>
      <w:pPr>
        <w:keepNext w:val="0"/>
        <w:keepLines w:val="0"/>
        <w:pageBreakBefore w:val="0"/>
        <w:kinsoku/>
        <w:wordWrap/>
        <w:overflowPunct/>
        <w:topLinePunct w:val="0"/>
        <w:autoSpaceDE/>
        <w:autoSpaceDN/>
        <w:bidi w:val="0"/>
        <w:spacing w:line="600" w:lineRule="exact"/>
        <w:jc w:val="center"/>
        <w:textAlignment w:val="auto"/>
        <w:rPr>
          <w:rFonts w:hint="default"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Cs w:val="0"/>
          <w:color w:val="auto"/>
          <w:sz w:val="44"/>
          <w:szCs w:val="44"/>
          <w:lang w:eastAsia="zh-CN"/>
        </w:rPr>
        <w:t>的意见</w:t>
      </w:r>
      <w:r>
        <w:rPr>
          <w:rFonts w:hint="default" w:ascii="方正小标宋简体" w:hAnsi="方正小标宋简体" w:eastAsia="方正小标宋简体" w:cs="方正小标宋简体"/>
          <w:bCs w:val="0"/>
          <w:color w:val="auto"/>
          <w:sz w:val="44"/>
          <w:szCs w:val="44"/>
        </w:rPr>
        <w:t>（征求意见稿）》的起草说明</w:t>
      </w:r>
    </w:p>
    <w:p>
      <w:pPr>
        <w:keepNext w:val="0"/>
        <w:keepLines w:val="0"/>
        <w:pageBreakBefore w:val="0"/>
        <w:kinsoku/>
        <w:wordWrap/>
        <w:overflowPunct/>
        <w:topLinePunct w:val="0"/>
        <w:autoSpaceDE/>
        <w:autoSpaceDN/>
        <w:bidi w:val="0"/>
        <w:spacing w:line="600" w:lineRule="exact"/>
        <w:ind w:firstLine="20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制定背景与目标</w:t>
      </w:r>
    </w:p>
    <w:p>
      <w:pPr>
        <w:pStyle w:val="6"/>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sz w:val="32"/>
          <w:szCs w:val="32"/>
          <w:lang w:eastAsia="zh-CN"/>
        </w:rPr>
        <w:t>近年来，国家和北京市对政府投资项目管理工作提出重要部署，明确要求加强政府投资监管，规范审批管理程序，强调要严格控制投资规模，规范概算编制、审批和调整程序，加强事中事后监管。</w:t>
      </w:r>
      <w:r>
        <w:rPr>
          <w:rFonts w:hint="eastAsia" w:ascii="Times New Roman" w:hAnsi="Times New Roman" w:cs="Times New Roman"/>
          <w:sz w:val="32"/>
          <w:szCs w:val="32"/>
          <w:lang w:eastAsia="zh-CN"/>
        </w:rPr>
        <w:t>政府投资项目是推动区域经济社会发展的重要抓手，概算管理是投资控制的关键环节，</w:t>
      </w:r>
      <w:r>
        <w:rPr>
          <w:rFonts w:hint="eastAsia" w:ascii="仿宋_GB2312" w:hAnsi="仿宋_GB2312" w:eastAsia="仿宋_GB2312" w:cs="仿宋_GB2312"/>
          <w:b w:val="0"/>
          <w:color w:val="000000"/>
          <w:kern w:val="2"/>
          <w:sz w:val="32"/>
          <w:szCs w:val="32"/>
        </w:rPr>
        <w:t>为优化概算审批程序，加强成本管控，</w:t>
      </w:r>
      <w:r>
        <w:rPr>
          <w:rFonts w:hint="eastAsia" w:hAnsi="仿宋_GB2312" w:cs="仿宋_GB2312"/>
          <w:b w:val="0"/>
          <w:color w:val="000000"/>
          <w:kern w:val="2"/>
          <w:sz w:val="32"/>
          <w:szCs w:val="32"/>
          <w:lang w:eastAsia="zh-CN"/>
        </w:rPr>
        <w:t>避免投资超概、资金浪费甚至廉政风险，我们</w:t>
      </w:r>
      <w:r>
        <w:rPr>
          <w:rFonts w:hint="eastAsia" w:ascii="仿宋_GB2312" w:hAnsi="仿宋_GB2312" w:eastAsia="仿宋_GB2312" w:cs="仿宋_GB2312"/>
          <w:b w:val="0"/>
          <w:color w:val="000000"/>
          <w:kern w:val="2"/>
          <w:sz w:val="32"/>
          <w:szCs w:val="32"/>
        </w:rPr>
        <w:t>按照《大兴区政府投资管理办法》（京兴政发〔2024〕15号）和有关法律、行政法规，结合本区实际，</w:t>
      </w:r>
      <w:r>
        <w:rPr>
          <w:rFonts w:hint="eastAsia" w:hAnsi="仿宋_GB2312" w:cs="仿宋_GB2312"/>
          <w:color w:val="auto"/>
          <w:kern w:val="0"/>
          <w:sz w:val="32"/>
          <w:szCs w:val="32"/>
          <w:lang w:eastAsia="zh-CN"/>
        </w:rPr>
        <w:t>拟对《关于加强政府投资项目概算管理的意见》（京兴政发</w:t>
      </w:r>
      <w:r>
        <w:rPr>
          <w:rFonts w:hint="eastAsia" w:hAnsi="仿宋_GB2312" w:cs="仿宋_GB2312"/>
          <w:color w:val="auto"/>
          <w:kern w:val="0"/>
          <w:sz w:val="32"/>
          <w:szCs w:val="32"/>
          <w:lang w:val="en-US" w:eastAsia="zh"/>
        </w:rPr>
        <w:t>[</w:t>
      </w:r>
      <w:r>
        <w:rPr>
          <w:rFonts w:hint="eastAsia" w:hAnsi="仿宋_GB2312" w:cs="仿宋_GB2312"/>
          <w:color w:val="auto"/>
          <w:kern w:val="0"/>
          <w:sz w:val="32"/>
          <w:szCs w:val="32"/>
          <w:lang w:val="en-US" w:eastAsia="zh-CN"/>
        </w:rPr>
        <w:t>2021</w:t>
      </w:r>
      <w:r>
        <w:rPr>
          <w:rFonts w:hint="eastAsia" w:hAnsi="仿宋_GB2312" w:cs="仿宋_GB2312"/>
          <w:color w:val="auto"/>
          <w:kern w:val="0"/>
          <w:sz w:val="32"/>
          <w:szCs w:val="32"/>
          <w:lang w:val="en-US" w:eastAsia="zh"/>
        </w:rPr>
        <w:t>]</w:t>
      </w:r>
      <w:r>
        <w:rPr>
          <w:rFonts w:hint="eastAsia" w:hAnsi="仿宋_GB2312" w:cs="仿宋_GB2312"/>
          <w:color w:val="auto"/>
          <w:kern w:val="0"/>
          <w:sz w:val="32"/>
          <w:szCs w:val="32"/>
          <w:lang w:val="en-US" w:eastAsia="zh-CN"/>
        </w:rPr>
        <w:t>17号</w:t>
      </w:r>
      <w:r>
        <w:rPr>
          <w:rFonts w:hint="eastAsia" w:hAnsi="仿宋_GB2312" w:cs="仿宋_GB2312"/>
          <w:color w:val="auto"/>
          <w:kern w:val="0"/>
          <w:sz w:val="32"/>
          <w:szCs w:val="32"/>
          <w:lang w:eastAsia="zh-CN"/>
        </w:rPr>
        <w:t>）进行修订。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起草依据及过程</w:t>
      </w:r>
    </w:p>
    <w:p>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依据</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color w:val="auto"/>
          <w:kern w:val="2"/>
          <w:sz w:val="32"/>
          <w:szCs w:val="32"/>
          <w:lang w:eastAsia="zh-CN"/>
        </w:rPr>
        <w:t>政府投资条例</w:t>
      </w:r>
      <w:r>
        <w:rPr>
          <w:rFonts w:hint="eastAsia" w:ascii="仿宋_GB2312" w:hAnsi="仿宋_GB2312" w:eastAsia="仿宋_GB2312" w:cs="仿宋_GB2312"/>
          <w:b w:val="0"/>
          <w:bCs w:val="0"/>
          <w:color w:val="auto"/>
          <w:sz w:val="32"/>
          <w:szCs w:val="32"/>
          <w:highlight w:val="none"/>
          <w:u w:val="none"/>
          <w:lang w:val="en-US" w:eastAsia="zh-CN"/>
        </w:rPr>
        <w:t>》和有关法律法规，参照《中央预算内直接投资项目概算管理暂行办法》、北京市《关于进一步加强政府投资项目管理优化概算审批程序的通知》要求，我们参考相关单位在政府投资项目概算管理中存在的问题及工作建议，同时，借鉴市级经验及做法，在充分研究讨论的基础上，参考市级相关政策法规，起草</w:t>
      </w:r>
      <w:r>
        <w:rPr>
          <w:rFonts w:hint="eastAsia" w:ascii="仿宋_GB2312" w:hAnsi="仿宋_GB2312" w:eastAsia="仿宋_GB2312" w:cs="仿宋_GB2312"/>
          <w:kern w:val="2"/>
          <w:sz w:val="32"/>
          <w:szCs w:val="32"/>
          <w:highlight w:val="none"/>
          <w:lang w:val="en-US" w:eastAsia="zh-CN" w:bidi="ar-SA"/>
        </w:rPr>
        <w:t>形成了《加强大兴区政府投资项目概算管理的意见（征求意见稿）》（以下简称《意见》）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意见》征求了相关部门、各镇街及法律机构的意见，与提出修改意见的相关单位进行了沟通，达成一致后进行修改完善。《意见》将按照相关文件管理要求，拟提请区委、区政府批准执行，并以大兴区政府名义印发执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color w:val="auto"/>
          <w:sz w:val="32"/>
          <w:szCs w:val="32"/>
          <w:lang w:eastAsia="zh-CN"/>
        </w:rPr>
        <w:t>三、主要内容</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意见</w:t>
      </w:r>
      <w:r>
        <w:rPr>
          <w:rFonts w:hint="eastAsia" w:ascii="仿宋_GB2312" w:hAnsi="仿宋_GB2312" w:eastAsia="仿宋_GB2312" w:cs="仿宋_GB2312"/>
          <w:color w:val="auto"/>
          <w:sz w:val="32"/>
          <w:szCs w:val="32"/>
          <w:highlight w:val="none"/>
          <w:lang w:eastAsia="zh-CN"/>
        </w:rPr>
        <w:t>》共五章十六条。</w:t>
      </w:r>
      <w:r>
        <w:rPr>
          <w:rFonts w:hint="eastAsia" w:ascii="仿宋_GB2312" w:hAnsi="仿宋_GB2312" w:eastAsia="仿宋_GB2312" w:cs="仿宋_GB2312"/>
          <w:color w:val="000000"/>
          <w:sz w:val="32"/>
          <w:szCs w:val="32"/>
          <w:lang w:eastAsia="zh-CN"/>
        </w:rPr>
        <w:t>主要内容</w:t>
      </w:r>
      <w:r>
        <w:rPr>
          <w:rFonts w:hint="eastAsia" w:ascii="仿宋_GB2312" w:hAnsi="仿宋_GB2312" w:eastAsia="仿宋_GB2312" w:cs="仿宋_GB2312"/>
          <w:color w:val="000000"/>
          <w:sz w:val="32"/>
          <w:szCs w:val="32"/>
        </w:rPr>
        <w:t>如下：</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第一章总则，明确政策出台的意义及适用范围。</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二章项目前期管理，明确政府投资项目的计划编制过程、审批程序、及资金变更管理程序。强化分级决策工作机制，2000万以上项目先经区政府批准；严格资金管控，各阶段批复投资均不得超审定额度，对确需变更的，根据投资规模，明确项目变更管理的具体流程。</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三章项目实施管理，明确政府投资项目管理需严守概算红线。经批准的初步设计概算为投资控制依据，项目单位要负主体责任，行业部门要履行监管职责。并明确因特殊情况确需调整概算的，应分层级提前审议；违规超概算且未履行程序的，将纳入绩效考核并依规追责。</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第四章决算审批管理，明确项目竣工决算工作流程。项目完成竣工验收、结算审核等工作后，由投资主管部门委托专业机构评估评审。未履行超概调整程序的超概项目，须经专项审计后报</w:t>
      </w:r>
      <w:bookmarkStart w:id="0" w:name="_GoBack"/>
      <w:bookmarkEnd w:id="0"/>
      <w:r>
        <w:rPr>
          <w:rFonts w:hint="eastAsia" w:ascii="Times New Roman" w:hAnsi="Times New Roman" w:eastAsia="仿宋_GB2312" w:cs="Times New Roman"/>
          <w:bCs/>
          <w:kern w:val="0"/>
          <w:sz w:val="32"/>
          <w:szCs w:val="24"/>
          <w:lang w:val="en-US" w:eastAsia="zh-CN"/>
        </w:rPr>
        <w:t>区政府批准，投资主管部门依据区政府批示办理决算审批。确保财政资金合理使用与项目规范运作。</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第五章附则，明确办法实施的时间。</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E5755"/>
    <w:multiLevelType w:val="singleLevel"/>
    <w:tmpl w:val="DFCE5755"/>
    <w:lvl w:ilvl="0" w:tentative="0">
      <w:start w:val="1"/>
      <w:numFmt w:val="chineseCounting"/>
      <w:suff w:val="nothing"/>
      <w:lvlText w:val="%1、"/>
      <w:lvlJc w:val="left"/>
      <w:rPr>
        <w:rFonts w:hint="eastAsia"/>
      </w:rPr>
    </w:lvl>
  </w:abstractNum>
  <w:abstractNum w:abstractNumId="1">
    <w:nsid w:val="69BB3EE9"/>
    <w:multiLevelType w:val="singleLevel"/>
    <w:tmpl w:val="69BB3EE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jE2ZWM0ZDMzMDQ4ZGIwMWI3ODU3YjlkYTBmNjcifQ=="/>
    <w:docVar w:name="KSO_WPS_MARK_KEY" w:val="e7cef8b0-59e2-41c8-8f70-1a27262602f6"/>
  </w:docVars>
  <w:rsids>
    <w:rsidRoot w:val="332233FF"/>
    <w:rsid w:val="018B5A7B"/>
    <w:rsid w:val="02697C92"/>
    <w:rsid w:val="03351AB3"/>
    <w:rsid w:val="034814F2"/>
    <w:rsid w:val="0B7EC13D"/>
    <w:rsid w:val="0C5252FE"/>
    <w:rsid w:val="16FF7201"/>
    <w:rsid w:val="181F0CF5"/>
    <w:rsid w:val="192232CC"/>
    <w:rsid w:val="1FFF9742"/>
    <w:rsid w:val="268B1793"/>
    <w:rsid w:val="26B87EFF"/>
    <w:rsid w:val="2D771F93"/>
    <w:rsid w:val="31B24C75"/>
    <w:rsid w:val="326E3D4C"/>
    <w:rsid w:val="332233FF"/>
    <w:rsid w:val="34442F4F"/>
    <w:rsid w:val="37771E71"/>
    <w:rsid w:val="377A2E70"/>
    <w:rsid w:val="37DF8C71"/>
    <w:rsid w:val="39383692"/>
    <w:rsid w:val="3ABF2FF3"/>
    <w:rsid w:val="3AEA0BB8"/>
    <w:rsid w:val="3DB7815B"/>
    <w:rsid w:val="3DDF49B9"/>
    <w:rsid w:val="3DEBC78C"/>
    <w:rsid w:val="3DF9AD49"/>
    <w:rsid w:val="3EF756C8"/>
    <w:rsid w:val="40755D74"/>
    <w:rsid w:val="427C4608"/>
    <w:rsid w:val="4A6B3097"/>
    <w:rsid w:val="4AED0AC6"/>
    <w:rsid w:val="4FFD9DFC"/>
    <w:rsid w:val="53B3CF85"/>
    <w:rsid w:val="5559FE41"/>
    <w:rsid w:val="56E79B8F"/>
    <w:rsid w:val="58343BE4"/>
    <w:rsid w:val="5A581950"/>
    <w:rsid w:val="5C011AE7"/>
    <w:rsid w:val="5E7FF42D"/>
    <w:rsid w:val="5FBD9696"/>
    <w:rsid w:val="5FFFF56D"/>
    <w:rsid w:val="615E62EB"/>
    <w:rsid w:val="619B3CBC"/>
    <w:rsid w:val="63003AA2"/>
    <w:rsid w:val="633FEC88"/>
    <w:rsid w:val="67769438"/>
    <w:rsid w:val="67FC0BCD"/>
    <w:rsid w:val="69FB1442"/>
    <w:rsid w:val="6AEA4BEF"/>
    <w:rsid w:val="6B56EE70"/>
    <w:rsid w:val="6B5FE4B0"/>
    <w:rsid w:val="6BBD0EFB"/>
    <w:rsid w:val="6EF912FF"/>
    <w:rsid w:val="6EF998ED"/>
    <w:rsid w:val="6EFED668"/>
    <w:rsid w:val="6FD716BD"/>
    <w:rsid w:val="72DD335C"/>
    <w:rsid w:val="75BBD35D"/>
    <w:rsid w:val="76C70F6B"/>
    <w:rsid w:val="76D7B40F"/>
    <w:rsid w:val="795764D6"/>
    <w:rsid w:val="7A953032"/>
    <w:rsid w:val="7DAE4BB8"/>
    <w:rsid w:val="7DFFCD7B"/>
    <w:rsid w:val="7E5F6EE5"/>
    <w:rsid w:val="7EDE8BA8"/>
    <w:rsid w:val="7FBF3CCD"/>
    <w:rsid w:val="7FBF6FAF"/>
    <w:rsid w:val="7FFD523F"/>
    <w:rsid w:val="7FFE46EC"/>
    <w:rsid w:val="9A7753B6"/>
    <w:rsid w:val="B1FB6449"/>
    <w:rsid w:val="B3FCAAE6"/>
    <w:rsid w:val="B77F5451"/>
    <w:rsid w:val="B7FE8482"/>
    <w:rsid w:val="BDF7B4C6"/>
    <w:rsid w:val="BF78C8EA"/>
    <w:rsid w:val="BFBD112C"/>
    <w:rsid w:val="CEC997E4"/>
    <w:rsid w:val="D77BB8A9"/>
    <w:rsid w:val="DDFF3FC3"/>
    <w:rsid w:val="DFBD1D43"/>
    <w:rsid w:val="DFFBB9A3"/>
    <w:rsid w:val="E6BA5BA5"/>
    <w:rsid w:val="EE454422"/>
    <w:rsid w:val="EEEFF61C"/>
    <w:rsid w:val="EFFFC074"/>
    <w:rsid w:val="F377B179"/>
    <w:rsid w:val="F77D00F6"/>
    <w:rsid w:val="F7A5C45E"/>
    <w:rsid w:val="FB7C9E34"/>
    <w:rsid w:val="FBFE05B8"/>
    <w:rsid w:val="FDFE0783"/>
    <w:rsid w:val="FEBD5029"/>
    <w:rsid w:val="FFBAECAC"/>
    <w:rsid w:val="FFE9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Times New Roman" w:hAnsi="Times New Roman" w:eastAsia="宋体" w:cs="Times New Roman"/>
      <w:szCs w:val="20"/>
    </w:rPr>
  </w:style>
  <w:style w:type="paragraph" w:styleId="5">
    <w:name w:val="Body Text Indent"/>
    <w:basedOn w:val="1"/>
    <w:next w:val="4"/>
    <w:qFormat/>
    <w:uiPriority w:val="0"/>
    <w:pPr>
      <w:spacing w:after="120"/>
      <w:ind w:left="420" w:leftChars="200"/>
    </w:pPr>
  </w:style>
  <w:style w:type="paragraph" w:styleId="6">
    <w:name w:val="Body Text"/>
    <w:basedOn w:val="1"/>
    <w:next w:val="7"/>
    <w:qFormat/>
    <w:uiPriority w:val="0"/>
    <w:pPr>
      <w:adjustRightInd w:val="0"/>
      <w:snapToGrid w:val="0"/>
      <w:spacing w:line="580" w:lineRule="exact"/>
    </w:pPr>
    <w:rPr>
      <w:rFonts w:ascii="仿宋_GB2312" w:eastAsia="仿宋_GB2312"/>
      <w:sz w:val="32"/>
      <w:szCs w:val="20"/>
    </w:rPr>
  </w:style>
  <w:style w:type="paragraph" w:styleId="7">
    <w:name w:val="header"/>
    <w:basedOn w:val="1"/>
    <w:unhideWhenUsed/>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2"/>
    <w:basedOn w:val="1"/>
    <w:next w:val="1"/>
    <w:qFormat/>
    <w:uiPriority w:val="99"/>
    <w:pPr>
      <w:ind w:left="420" w:leftChars="200"/>
    </w:pPr>
    <w:rPr>
      <w:rFonts w:ascii="Calibri" w:hAnsi="Calibri"/>
    </w:rPr>
  </w:style>
  <w:style w:type="paragraph" w:styleId="10">
    <w:name w:val="Body Text 2"/>
    <w:basedOn w:val="1"/>
    <w:unhideWhenUsed/>
    <w:qFormat/>
    <w:uiPriority w:val="0"/>
    <w:pPr>
      <w:spacing w:line="360" w:lineRule="auto"/>
      <w:ind w:firstLine="200" w:firstLineChars="200"/>
    </w:pPr>
    <w:rPr>
      <w:rFonts w:eastAsia="楷体_GB2312"/>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Autospacing="1" w:after="100" w:afterAutospacing="1"/>
      <w:ind w:left="1548" w:firstLine="420" w:firstLineChars="100"/>
    </w:pPr>
    <w:rPr>
      <w:kern w:val="0"/>
      <w:sz w:val="20"/>
      <w:szCs w:val="20"/>
    </w:r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paragraph" w:customStyle="1" w:styleId="19">
    <w:name w:val="toc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940</Words>
  <Characters>960</Characters>
  <Lines>0</Lines>
  <Paragraphs>0</Paragraphs>
  <TotalTime>18</TotalTime>
  <ScaleCrop>false</ScaleCrop>
  <LinksUpToDate>false</LinksUpToDate>
  <CharactersWithSpaces>960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2025-02-16T04:11:00Z</dcterms:created>
  <dc:creator>谢梦琦</dc:creator>
  <cp:lastModifiedBy>user</cp:lastModifiedBy>
  <cp:lastPrinted>2025-09-04T19:33:00Z</cp:lastPrinted>
  <dcterms:modified xsi:type="dcterms:W3CDTF">2025-09-05T11:05:15Z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8DCC6A9D644742BA9640329D7C338FCA</vt:lpwstr>
  </property>
  <property fmtid="{D5CDD505-2E9C-101B-9397-08002B2CF9AE}" pid="4" name="KSOTemplateDocerSaveRecord">
    <vt:lpwstr>eyJoZGlkIjoiODhjNzM3MGZiMjQwMWRlZDdhNmY5NWNjOTEzYzVhZjEiLCJ1c2VySWQiOiI3MTIzNDQ2ODUifQ==</vt:lpwstr>
  </property>
</Properties>
</file>