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bidi w:val="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附件1：</w:t>
      </w:r>
    </w:p>
    <w:p>
      <w:pPr>
        <w:numPr>
          <w:ilvl w:val="0"/>
          <w:numId w:val="0"/>
        </w:numPr>
        <w:bidi w:val="0"/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加强大兴区政府投资项目概算管理的意见</w:t>
      </w:r>
    </w:p>
    <w:p>
      <w:pPr>
        <w:numPr>
          <w:ilvl w:val="0"/>
          <w:numId w:val="0"/>
        </w:numPr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（征求意见稿）</w:t>
      </w:r>
    </w:p>
    <w:p>
      <w:pPr>
        <w:numPr>
          <w:ilvl w:val="0"/>
          <w:numId w:val="0"/>
        </w:num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第一章 总  则</w:t>
      </w:r>
    </w:p>
    <w:p>
      <w:pPr>
        <w:numPr>
          <w:ilvl w:val="0"/>
          <w:numId w:val="0"/>
        </w:numPr>
        <w:bidi w:val="0"/>
        <w:ind w:left="0" w:leftChars="0" w:firstLine="640" w:firstLineChars="200"/>
        <w:rPr>
          <w:rFonts w:hint="eastAsia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eastAsia="zh-CN"/>
        </w:rPr>
        <w:t>第一条</w:t>
      </w:r>
      <w:r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为</w:t>
      </w:r>
      <w:r>
        <w:rPr>
          <w:rFonts w:hint="eastAsia" w:cs="仿宋_GB2312"/>
          <w:kern w:val="2"/>
          <w:sz w:val="32"/>
          <w:szCs w:val="32"/>
          <w:highlight w:val="none"/>
          <w:lang w:val="en-US" w:eastAsia="zh-CN" w:bidi="ar-SA"/>
        </w:rPr>
        <w:t>进一步加强政府投资项目概算管理，优化概算审批程序，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  <w:t>规范</w:t>
      </w:r>
      <w:r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政府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  <w:t>投资行为，加强成本管控，</w:t>
      </w:r>
      <w:r>
        <w:rPr>
          <w:rFonts w:hint="eastAsia" w:cs="仿宋_GB2312"/>
          <w:kern w:val="2"/>
          <w:sz w:val="32"/>
          <w:szCs w:val="32"/>
          <w:highlight w:val="none"/>
          <w:lang w:val="en-US" w:eastAsia="zh-CN" w:bidi="ar-SA"/>
        </w:rPr>
        <w:t>按照《大兴区政府投资管理办法》（京兴政发〔2024〕15号）和有关法律、行政法规，结合本区实际，制定本意见。</w:t>
      </w:r>
    </w:p>
    <w:p>
      <w:pPr>
        <w:numPr>
          <w:ilvl w:val="0"/>
          <w:numId w:val="0"/>
        </w:numPr>
        <w:bidi w:val="0"/>
        <w:ind w:left="0" w:leftChars="0"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highlight w:val="none"/>
          <w:lang w:eastAsia="zh-CN"/>
        </w:rPr>
        <w:t>第二条</w:t>
      </w:r>
      <w:r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本意见适用于使用区级政府性资金，由投资主管部门批复立项的直接投资项目，市政府固定资产投资项目参照市级管理规定执行。</w:t>
      </w:r>
    </w:p>
    <w:p>
      <w:pPr>
        <w:tabs>
          <w:tab w:val="left" w:pos="0"/>
        </w:tabs>
        <w:overflowPunct w:val="0"/>
        <w:spacing w:line="560" w:lineRule="exact"/>
        <w:ind w:firstLine="640" w:firstLineChars="200"/>
        <w:jc w:val="center"/>
        <w:rPr>
          <w:rFonts w:hint="default" w:ascii="黑体" w:hAnsi="黑体" w:eastAsia="黑体" w:cs="黑体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highlight w:val="none"/>
          <w:lang w:eastAsia="zh-CN"/>
        </w:rPr>
        <w:t>第二章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 xml:space="preserve"> 项目前期管理</w:t>
      </w:r>
    </w:p>
    <w:p>
      <w:pPr>
        <w:tabs>
          <w:tab w:val="left" w:pos="0"/>
        </w:tabs>
        <w:overflowPunct w:val="0"/>
        <w:spacing w:line="560" w:lineRule="exact"/>
        <w:ind w:firstLine="640" w:firstLineChars="200"/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highlight w:val="none"/>
          <w:lang w:eastAsia="zh-CN"/>
        </w:rPr>
        <w:t>第三条</w:t>
      </w:r>
      <w:r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加强计划管理。使用区级政府性资金投资建设的项目按照《区级政府投资项目储备管理制度》（京兴发改发</w:t>
      </w:r>
      <w:r>
        <w:rPr>
          <w:rFonts w:hint="eastAsia" w:cs="仿宋_GB2312"/>
          <w:kern w:val="2"/>
          <w:sz w:val="32"/>
          <w:szCs w:val="32"/>
          <w:highlight w:val="none"/>
          <w:lang w:val="en-US" w:eastAsia="zh-CN" w:bidi="ar-SA"/>
        </w:rPr>
        <w:t>〔2024〕10号</w:t>
      </w:r>
      <w:r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）《区级政府投资专项资金管理制度》（京兴发改发〔2024〕11号）执行，纳入区级政府投资项目储备库后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  <w:t>，</w:t>
      </w:r>
      <w:r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根据项目必要性、紧迫性、成熟度适时纳入区级政府投资年度计划。</w:t>
      </w:r>
    </w:p>
    <w:p>
      <w:pPr>
        <w:tabs>
          <w:tab w:val="left" w:pos="0"/>
        </w:tabs>
        <w:overflowPunct w:val="0"/>
        <w:spacing w:line="560" w:lineRule="exact"/>
        <w:ind w:firstLine="640" w:firstLineChars="200"/>
        <w:rPr>
          <w:rFonts w:hint="default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第四条</w:t>
      </w:r>
      <w:r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 xml:space="preserve"> 强化</w:t>
      </w:r>
      <w:r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审批程序。使用区级政府性资金投资建设的项目严格履行分级决策机制，按照《关于加强大兴区政府投资建设项目成本管控的有关意见》（京兴发改〔202</w:t>
      </w:r>
      <w:r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〕</w:t>
      </w:r>
      <w:r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号）执行</w:t>
      </w:r>
      <w:r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对于投资</w:t>
      </w:r>
      <w:r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2000万元（含）以上</w:t>
      </w:r>
      <w:r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的项目，应在投资主管部门批复项目立项前报区政府批准。</w:t>
      </w:r>
      <w:r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2000万元以下的项目由投资主管部门按程序批复立项。</w:t>
      </w:r>
    </w:p>
    <w:p>
      <w:pPr>
        <w:tabs>
          <w:tab w:val="left" w:pos="0"/>
        </w:tabs>
        <w:overflowPunct w:val="0"/>
        <w:spacing w:line="560" w:lineRule="exact"/>
        <w:ind w:firstLine="640" w:firstLineChars="200"/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第五条</w:t>
      </w:r>
      <w:r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 xml:space="preserve"> 严格资金管控。加强项目建议书、可行性研究报告、初步设计及概算、实施方案等环节评估评审，严控项目建设成本，</w:t>
      </w:r>
      <w:r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项目所有阶段投资原则上均不得超过区政府批准的投资额度。</w:t>
      </w:r>
    </w:p>
    <w:p>
      <w:pPr>
        <w:numPr>
          <w:ilvl w:val="0"/>
          <w:numId w:val="0"/>
        </w:numPr>
        <w:bidi w:val="0"/>
        <w:ind w:left="0" w:leftChars="0" w:firstLine="640" w:firstLineChars="200"/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第六条</w:t>
      </w:r>
      <w:r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 xml:space="preserve"> 严格变更管理。</w:t>
      </w:r>
      <w:r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已批复的可行性研究报告是项目开展初步设计及编制概算的依据，申报的初步设计概算要严格按照批复的可行性研究报告的项目规模、标准、投资额度等内容进行限额设计,原则上不得超过立项批复的投资额度。对确需变更调整的按照以下要求申请调整：</w:t>
      </w:r>
    </w:p>
    <w:p>
      <w:pPr>
        <w:numPr>
          <w:ilvl w:val="0"/>
          <w:numId w:val="1"/>
        </w:numPr>
        <w:bidi w:val="0"/>
        <w:ind w:left="0" w:leftChars="0" w:firstLine="640" w:firstLineChars="200"/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总投资2000万元（含）以上的政府投资项目。</w:t>
      </w:r>
    </w:p>
    <w:p>
      <w:pPr>
        <w:numPr>
          <w:ilvl w:val="-1"/>
          <w:numId w:val="0"/>
        </w:numPr>
        <w:bidi w:val="0"/>
        <w:ind w:left="0" w:leftChars="0" w:firstLine="640" w:firstLineChars="200"/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经区政府批准，由投资主管部门批复立项后，对</w:t>
      </w:r>
      <w:r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申报初步设计概算存在下列情况的，项目单位应当先行报区政府批准，经区政府批准后,项目单位向投资主管部门报送调整可行性研究报告的请示（函），由投资主管部门批复。完成上述程序后再按程序报批初步设计概算。</w:t>
      </w:r>
      <w:r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 xml:space="preserve">  </w:t>
      </w:r>
    </w:p>
    <w:p>
      <w:pPr>
        <w:numPr>
          <w:ilvl w:val="0"/>
          <w:numId w:val="0"/>
        </w:numPr>
        <w:bidi w:val="0"/>
        <w:ind w:left="0" w:leftChars="0" w:firstLine="640" w:firstLineChars="200"/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 xml:space="preserve">1.建设地点或建设主体发生变化; </w:t>
      </w:r>
    </w:p>
    <w:p>
      <w:pPr>
        <w:numPr>
          <w:ilvl w:val="0"/>
          <w:numId w:val="0"/>
        </w:numPr>
        <w:bidi w:val="0"/>
        <w:ind w:left="0" w:leftChars="0" w:firstLine="640" w:firstLineChars="200"/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2.建设方案发生较大变化,包括申报初步设计概算总额超出区政府批准规模</w:t>
      </w:r>
      <w:r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10%以下</w:t>
      </w:r>
      <w:r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、建设内容存在较大甩项或调整。</w:t>
      </w:r>
    </w:p>
    <w:p>
      <w:pPr>
        <w:numPr>
          <w:ilvl w:val="0"/>
          <w:numId w:val="0"/>
        </w:numPr>
        <w:bidi w:val="0"/>
        <w:ind w:left="0" w:leftChars="0" w:firstLine="640" w:firstLineChars="200"/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对申报初步设计概算总额超过可行性研究报告批复投资总额10%（含）以上的，或初步设计方案建筑面积超过可行性研究报告批准面积10%（</w:t>
      </w:r>
      <w:r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含</w:t>
      </w:r>
      <w:r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 xml:space="preserve">）以上的项目，项目单位应重新报送可行性研究报告,按照政府投资项目管理办法重新履行审批程序。 </w:t>
      </w:r>
      <w:r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 xml:space="preserve">      </w:t>
      </w:r>
    </w:p>
    <w:p>
      <w:pPr>
        <w:numPr>
          <w:ilvl w:val="0"/>
          <w:numId w:val="0"/>
        </w:numPr>
        <w:bidi w:val="0"/>
        <w:ind w:left="0" w:leftChars="0" w:firstLine="640" w:firstLineChars="200"/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（二）总投资2000万元以下的政府投资项目。由投资主管部门立项后，对申报初步设计概算存在下列情况的项目，项目单位应当重新报送可行性研究报告。项目单位重新报送可行性研究报告的请示（函），由投资主管部门重新批复立项，完成上述程序后再按程序报批初步设计概算。</w:t>
      </w:r>
    </w:p>
    <w:p>
      <w:pPr>
        <w:numPr>
          <w:ilvl w:val="0"/>
          <w:numId w:val="0"/>
        </w:numPr>
        <w:bidi w:val="0"/>
        <w:ind w:left="0" w:leftChars="0" w:firstLine="640" w:firstLineChars="200"/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1.建设地点或建设主体发生变化;</w:t>
      </w:r>
    </w:p>
    <w:p>
      <w:pPr>
        <w:numPr>
          <w:ilvl w:val="0"/>
          <w:numId w:val="0"/>
        </w:numPr>
        <w:bidi w:val="0"/>
        <w:ind w:left="0" w:leftChars="0" w:firstLine="640" w:firstLineChars="200"/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2.建设方案发生重大变化,包括申报初步设计概算投资超过可行性研究报告批复金额10%（</w:t>
      </w:r>
      <w:r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含</w:t>
      </w:r>
      <w:r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）以上、建筑面积超过可行性研究报告批复面积10%（</w:t>
      </w:r>
      <w:r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含</w:t>
      </w:r>
      <w:r>
        <w:rPr>
          <w:rFonts w:hint="eastAsia" w:cs="仿宋_GB2312"/>
          <w:snapToGrid w:val="0"/>
          <w:color w:val="000000"/>
          <w:kern w:val="0"/>
          <w:sz w:val="32"/>
          <w:szCs w:val="32"/>
          <w:highlight w:val="none"/>
          <w:lang w:eastAsia="zh-CN"/>
        </w:rPr>
        <w:t>）以上的、建设内容存在较大甩项或调整。</w:t>
      </w:r>
    </w:p>
    <w:p>
      <w:pPr>
        <w:numPr>
          <w:ilvl w:val="0"/>
          <w:numId w:val="0"/>
        </w:numPr>
        <w:bidi w:val="0"/>
        <w:ind w:left="0" w:leftChars="0" w:firstLine="640" w:firstLineChars="200"/>
        <w:jc w:val="center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highlight w:val="none"/>
          <w:lang w:eastAsia="zh-CN"/>
        </w:rPr>
        <w:t>第三章 项目实施管理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 xml:space="preserve">第七条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经批准的初步设计概算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（或实施方案）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是控制项目总投资的依据，项目单位应严格按照批复进行施工图设计，组织施工建设，确保项目总投资控制在概算以内。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 xml:space="preserve">第八条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项目单位对概算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负主体责任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，行业管理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部门履行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管理和监督责任。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 xml:space="preserve">第九条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政府投资项目</w:t>
      </w:r>
      <w:r>
        <w:rPr>
          <w:rFonts w:hint="eastAsia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建设过程中发生的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投资原则上不得超过概算</w:t>
      </w:r>
      <w:r>
        <w:rPr>
          <w:rFonts w:hint="eastAsia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批复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投资。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由于政策调整、价格上涨、地质条件变化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和自然灾害等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不可抗力因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，在实施过程中确需对功能、规模等进行调整的，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应当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分层级提前审议决策。其中: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1.未超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过概算批复投资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的项目,由项目单位适度调整优化。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2.建设内容和投资变化较小的项目(投资增加额度在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概算批复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投资5%以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下的等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)，由项目单位商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行业管理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部门，报主管区领导批准后，报投资主管部门备案。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3.建设内容和投资变化较大的项目(建设内容和功能有较大调整的、投资增加额度超过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概算批复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投资5%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（含）以上、10%以下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的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)，由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项目单位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提请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政府专题会议审议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特别重大的变更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（建设内容和功能有较大调整的、区级政府投资增加额度超过概算投资10%（含）以上的等）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，应提请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政府常务会审议。</w:t>
      </w:r>
    </w:p>
    <w:p>
      <w:pPr>
        <w:keepNext w:val="0"/>
        <w:keepLines w:val="0"/>
        <w:widowControl w:val="0"/>
        <w:suppressLineNumbers w:val="0"/>
        <w:ind w:firstLine="640" w:firstLineChars="200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政府投资</w:t>
      </w:r>
      <w:r>
        <w:rPr>
          <w:rFonts w:hint="eastAsia" w:cs="仿宋_GB2312"/>
          <w:sz w:val="32"/>
          <w:szCs w:val="32"/>
          <w:highlight w:val="none"/>
          <w:lang w:val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超概算</w:t>
      </w:r>
      <w:r>
        <w:rPr>
          <w:rFonts w:hint="eastAsia" w:cs="仿宋_GB2312"/>
          <w:sz w:val="32"/>
          <w:szCs w:val="32"/>
          <w:highlight w:val="none"/>
          <w:lang w:val="zh-CN"/>
        </w:rPr>
        <w:t>批复投资，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且超出资金</w:t>
      </w:r>
      <w:r>
        <w:rPr>
          <w:rFonts w:hint="eastAsia" w:cs="仿宋_GB2312"/>
          <w:sz w:val="32"/>
          <w:szCs w:val="32"/>
          <w:highlight w:val="none"/>
          <w:lang w:val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项目建设单位自筹解决的，项目单位</w:t>
      </w:r>
      <w:r>
        <w:rPr>
          <w:rFonts w:hint="eastAsia" w:cs="仿宋_GB2312"/>
          <w:sz w:val="32"/>
          <w:szCs w:val="32"/>
          <w:highlight w:val="none"/>
          <w:lang w:val="zh-CN"/>
        </w:rPr>
        <w:t>也须履行上述相应报批程序，同时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将资金解决</w:t>
      </w:r>
      <w:r>
        <w:rPr>
          <w:rFonts w:hint="eastAsia" w:cs="仿宋_GB2312"/>
          <w:sz w:val="32"/>
          <w:szCs w:val="32"/>
          <w:highlight w:val="none"/>
          <w:lang w:val="zh-CN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报请区政府同意。</w:t>
      </w:r>
    </w:p>
    <w:p>
      <w:pPr>
        <w:keepNext w:val="0"/>
        <w:keepLines w:val="0"/>
        <w:widowControl/>
        <w:numPr>
          <w:ilvl w:val="-1"/>
          <w:numId w:val="0"/>
        </w:numPr>
        <w:suppressLineNumbers w:val="0"/>
        <w:ind w:leftChars="0" w:firstLine="640" w:firstLineChars="200"/>
        <w:jc w:val="left"/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 xml:space="preserve">第十条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概算调整必须严格按照上述规定的程序执行，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已完工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但未履行概算调整程序的超概项目，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原则上不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调整，待项目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竣工验收后，由项目单位报请区政府常务会批准，交区审计局列入年度审计计划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组织专项审计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，审计报告抄送区纪检监察、投资主管及财政部门。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ind w:firstLine="640" w:firstLineChars="200"/>
        <w:jc w:val="both"/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zh-CN"/>
        </w:rPr>
        <w:t>第十一条</w:t>
      </w:r>
      <w:r>
        <w:rPr>
          <w:rFonts w:hint="eastAsia" w:ascii="黑体" w:hAnsi="黑体" w:eastAsia="黑体" w:cs="黑体"/>
          <w:sz w:val="32"/>
          <w:szCs w:val="32"/>
          <w:highlight w:val="none"/>
          <w:lang w:val="zh-CN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对政府投资项目出现超过</w:t>
      </w:r>
      <w:r>
        <w:rPr>
          <w:rFonts w:hint="eastAsia" w:cs="仿宋_GB2312"/>
          <w:sz w:val="32"/>
          <w:szCs w:val="32"/>
          <w:highlight w:val="none"/>
          <w:lang w:val="zh-CN"/>
        </w:rPr>
        <w:t>概算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投资且</w:t>
      </w:r>
      <w:r>
        <w:rPr>
          <w:rFonts w:hint="eastAsia" w:cs="仿宋_GB2312"/>
          <w:sz w:val="32"/>
          <w:szCs w:val="32"/>
          <w:highlight w:val="none"/>
          <w:lang w:val="zh-CN"/>
        </w:rPr>
        <w:t>在实施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过程中未</w:t>
      </w:r>
      <w:r>
        <w:rPr>
          <w:rFonts w:hint="eastAsia" w:cs="仿宋_GB2312"/>
          <w:sz w:val="32"/>
          <w:szCs w:val="32"/>
          <w:highlight w:val="none"/>
          <w:lang w:val="zh-CN"/>
        </w:rPr>
        <w:t>履行概算调整程序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的，区政府将此项内容纳入对</w:t>
      </w:r>
      <w:r>
        <w:rPr>
          <w:rFonts w:hint="eastAsia" w:cs="仿宋_GB2312"/>
          <w:sz w:val="32"/>
          <w:szCs w:val="32"/>
          <w:highlight w:val="none"/>
          <w:lang w:val="zh-CN"/>
        </w:rPr>
        <w:t>行业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管</w:t>
      </w:r>
      <w:r>
        <w:rPr>
          <w:rFonts w:hint="eastAsia" w:cs="仿宋_GB2312"/>
          <w:sz w:val="32"/>
          <w:szCs w:val="32"/>
          <w:highlight w:val="none"/>
          <w:lang w:val="zh-CN"/>
        </w:rPr>
        <w:t>理部门及建设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单位的绩效考核评价，并按照《大兴区政府投资管理办法》</w:t>
      </w:r>
      <w:r>
        <w:rPr>
          <w:rFonts w:hint="eastAsia" w:cs="仿宋_GB2312"/>
          <w:sz w:val="32"/>
          <w:szCs w:val="32"/>
          <w:highlight w:val="none"/>
          <w:lang w:val="zh-CN"/>
        </w:rPr>
        <w:t>追究责任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>
      <w:pPr>
        <w:numPr>
          <w:ilvl w:val="0"/>
          <w:numId w:val="0"/>
        </w:numPr>
        <w:bidi w:val="0"/>
        <w:ind w:firstLine="640" w:firstLineChars="200"/>
        <w:jc w:val="center"/>
        <w:rPr>
          <w:rFonts w:hint="eastAsia" w:ascii="黑体" w:hAnsi="黑体" w:eastAsia="黑体" w:cs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 xml:space="preserve">第四章  </w:t>
      </w:r>
      <w:r>
        <w:rPr>
          <w:rFonts w:hint="eastAsia" w:ascii="黑体" w:hAnsi="黑体" w:eastAsia="黑体" w:cs="黑体"/>
          <w:highlight w:val="none"/>
          <w:lang w:val="en-US" w:eastAsia="zh-CN"/>
        </w:rPr>
        <w:t>决算审批管理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 xml:space="preserve">第十二条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项目取得竣工验收备案、完成结算审核定案和决算报告编制等工作后，向投资主管部门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报送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申请开展项目竣工决算的请示（函）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第十三条</w:t>
      </w:r>
      <w:r>
        <w:rPr>
          <w:rFonts w:hint="eastAsia" w:cs="仿宋_GB2312"/>
          <w:color w:val="000000"/>
          <w:sz w:val="32"/>
          <w:szCs w:val="32"/>
          <w:highlight w:val="none"/>
          <w:lang w:val="en-US" w:eastAsia="zh-CN"/>
        </w:rPr>
        <w:t xml:space="preserve"> 由投资主管部门委托具有资质的专业机构开展评估评审，依据评估评审结果批复项目竣工决算，并安排后续资金。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第十四条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由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投资主管部门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直接审批竣工决算</w:t>
      </w:r>
      <w:r>
        <w:rPr>
          <w:rFonts w:hint="eastAsia" w:cs="仿宋_GB2312"/>
          <w:sz w:val="32"/>
          <w:szCs w:val="32"/>
          <w:highlight w:val="none"/>
          <w:lang w:val="zh-CN"/>
        </w:rPr>
        <w:t>的项目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，主要包括：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1.</w:t>
      </w:r>
      <w:r>
        <w:rPr>
          <w:rFonts w:hint="eastAsia" w:cs="仿宋_GB2312"/>
          <w:sz w:val="32"/>
          <w:szCs w:val="32"/>
          <w:highlight w:val="none"/>
          <w:lang w:val="zh-CN"/>
        </w:rPr>
        <w:t>决算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投资未超</w:t>
      </w:r>
      <w:r>
        <w:rPr>
          <w:rFonts w:hint="eastAsia" w:cs="仿宋_GB2312"/>
          <w:sz w:val="32"/>
          <w:szCs w:val="32"/>
          <w:highlight w:val="none"/>
          <w:lang w:val="zh-CN"/>
        </w:rPr>
        <w:t>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概算</w:t>
      </w:r>
      <w:r>
        <w:rPr>
          <w:rFonts w:hint="eastAsia" w:cs="仿宋_GB2312"/>
          <w:sz w:val="32"/>
          <w:szCs w:val="32"/>
          <w:highlight w:val="none"/>
          <w:lang w:val="zh-CN"/>
        </w:rPr>
        <w:t>批复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投资的项目</w:t>
      </w:r>
      <w:r>
        <w:rPr>
          <w:rFonts w:hint="eastAsia" w:cs="仿宋_GB2312"/>
          <w:sz w:val="32"/>
          <w:szCs w:val="32"/>
          <w:highlight w:val="none"/>
          <w:lang w:val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2.</w:t>
      </w:r>
      <w:r>
        <w:rPr>
          <w:rFonts w:hint="eastAsia" w:cs="仿宋_GB2312"/>
          <w:sz w:val="32"/>
          <w:szCs w:val="32"/>
          <w:highlight w:val="none"/>
          <w:lang w:val="zh-CN"/>
        </w:rPr>
        <w:t>决算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投资超</w:t>
      </w:r>
      <w:r>
        <w:rPr>
          <w:rFonts w:hint="eastAsia" w:cs="仿宋_GB2312"/>
          <w:sz w:val="32"/>
          <w:szCs w:val="32"/>
          <w:highlight w:val="none"/>
          <w:lang w:val="zh-CN"/>
        </w:rPr>
        <w:t>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概算</w:t>
      </w:r>
      <w:r>
        <w:rPr>
          <w:rFonts w:hint="eastAsia" w:cs="仿宋_GB2312"/>
          <w:sz w:val="32"/>
          <w:szCs w:val="32"/>
          <w:highlight w:val="none"/>
          <w:lang w:val="zh-CN"/>
        </w:rPr>
        <w:t>批复投资，且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实施过程中已按程序报经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政府同意调整变更投资的项目。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zh-CN"/>
        </w:rPr>
        <w:t>第十五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条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项目申报竣工决算时投资超</w:t>
      </w:r>
      <w:r>
        <w:rPr>
          <w:rFonts w:hint="eastAsia" w:cs="仿宋_GB2312"/>
          <w:sz w:val="32"/>
          <w:szCs w:val="32"/>
          <w:highlight w:val="none"/>
          <w:lang w:val="zh-CN"/>
        </w:rPr>
        <w:t>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概算</w:t>
      </w:r>
      <w:r>
        <w:rPr>
          <w:rFonts w:hint="eastAsia" w:cs="仿宋_GB2312"/>
          <w:sz w:val="32"/>
          <w:szCs w:val="32"/>
          <w:highlight w:val="none"/>
          <w:lang w:val="zh-CN"/>
        </w:rPr>
        <w:t>批复投资且实施过程中未履行概算调整程序的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，</w:t>
      </w:r>
      <w:r>
        <w:rPr>
          <w:rFonts w:hint="eastAsia" w:cs="仿宋_GB2312"/>
          <w:sz w:val="32"/>
          <w:szCs w:val="32"/>
          <w:highlight w:val="none"/>
          <w:lang w:val="zh-CN"/>
        </w:rPr>
        <w:t>须先由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区审计局进行专项审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计</w:t>
      </w:r>
      <w:r>
        <w:rPr>
          <w:rFonts w:hint="eastAsia" w:cs="仿宋_GB2312"/>
          <w:sz w:val="32"/>
          <w:szCs w:val="32"/>
          <w:highlight w:val="none"/>
          <w:lang w:val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项目单位</w:t>
      </w:r>
      <w:r>
        <w:rPr>
          <w:rFonts w:hint="eastAsia" w:cs="仿宋_GB2312"/>
          <w:sz w:val="32"/>
          <w:szCs w:val="32"/>
          <w:highlight w:val="none"/>
          <w:lang w:val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专项审计结果</w:t>
      </w:r>
      <w:r>
        <w:rPr>
          <w:rFonts w:hint="eastAsia" w:cs="仿宋_GB2312"/>
          <w:sz w:val="32"/>
          <w:szCs w:val="32"/>
          <w:highlight w:val="none"/>
          <w:lang w:val="zh-CN"/>
        </w:rPr>
        <w:t>、采纳审计意见重新编制的决算报告和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资金解决</w:t>
      </w:r>
      <w:r>
        <w:rPr>
          <w:rFonts w:hint="eastAsia" w:cs="仿宋_GB2312"/>
          <w:sz w:val="32"/>
          <w:szCs w:val="32"/>
          <w:highlight w:val="none"/>
          <w:lang w:val="zh-CN"/>
        </w:rPr>
        <w:t>方案报请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区政府批准</w:t>
      </w:r>
      <w:r>
        <w:rPr>
          <w:rFonts w:hint="eastAsia" w:cs="仿宋_GB2312"/>
          <w:sz w:val="32"/>
          <w:szCs w:val="32"/>
          <w:highlight w:val="none"/>
          <w:lang w:val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,由投资主管</w:t>
      </w:r>
      <w:r>
        <w:rPr>
          <w:rFonts w:hint="eastAsia" w:cs="仿宋_GB2312"/>
          <w:sz w:val="32"/>
          <w:szCs w:val="32"/>
          <w:highlight w:val="none"/>
          <w:lang w:val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依据</w:t>
      </w:r>
      <w:r>
        <w:rPr>
          <w:rFonts w:hint="eastAsia" w:cs="仿宋_GB2312"/>
          <w:sz w:val="32"/>
          <w:szCs w:val="32"/>
          <w:highlight w:val="none"/>
          <w:lang w:val="zh-CN"/>
        </w:rPr>
        <w:t>区政府批示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批复项目竣工决算。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第五章  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第十六条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 xml:space="preserve"> 本办法自印发之日起施行，《加强政府投资项目概算管理的意见》（京兴政发</w:t>
      </w:r>
      <w:r>
        <w:rPr>
          <w:rFonts w:hint="eastAsia" w:cs="仿宋_GB2312"/>
          <w:kern w:val="2"/>
          <w:sz w:val="32"/>
          <w:szCs w:val="32"/>
          <w:highlight w:val="none"/>
          <w:lang w:val="en-US" w:eastAsia="zh-CN" w:bidi="ar-SA"/>
        </w:rPr>
        <w:t>〔2021〕17号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）同时废止。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3B42CD"/>
    <w:multiLevelType w:val="singleLevel"/>
    <w:tmpl w:val="FC3B42C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6791"/>
    <w:rsid w:val="00726300"/>
    <w:rsid w:val="011949CD"/>
    <w:rsid w:val="01B42948"/>
    <w:rsid w:val="01CC5EE4"/>
    <w:rsid w:val="02225B04"/>
    <w:rsid w:val="02377801"/>
    <w:rsid w:val="026659F0"/>
    <w:rsid w:val="02F2274C"/>
    <w:rsid w:val="030D7C0A"/>
    <w:rsid w:val="030F42DA"/>
    <w:rsid w:val="03DB7031"/>
    <w:rsid w:val="03E72B61"/>
    <w:rsid w:val="03EE565D"/>
    <w:rsid w:val="047C20F3"/>
    <w:rsid w:val="05177476"/>
    <w:rsid w:val="05942874"/>
    <w:rsid w:val="05DD246D"/>
    <w:rsid w:val="063D2F0C"/>
    <w:rsid w:val="06E4311A"/>
    <w:rsid w:val="07A1396F"/>
    <w:rsid w:val="08B576D2"/>
    <w:rsid w:val="08FB2C0B"/>
    <w:rsid w:val="09383C49"/>
    <w:rsid w:val="097529BD"/>
    <w:rsid w:val="0A1C108A"/>
    <w:rsid w:val="0A2D7755"/>
    <w:rsid w:val="0A64315D"/>
    <w:rsid w:val="0A945ABF"/>
    <w:rsid w:val="0B2621C1"/>
    <w:rsid w:val="0BFFDFCB"/>
    <w:rsid w:val="0C670CE3"/>
    <w:rsid w:val="0CAF4438"/>
    <w:rsid w:val="0D1B1ACD"/>
    <w:rsid w:val="0D200E92"/>
    <w:rsid w:val="0D4E3C51"/>
    <w:rsid w:val="0E5057A7"/>
    <w:rsid w:val="0FB00BF3"/>
    <w:rsid w:val="10C36704"/>
    <w:rsid w:val="11F34DC7"/>
    <w:rsid w:val="12B72298"/>
    <w:rsid w:val="12E017EF"/>
    <w:rsid w:val="137141F5"/>
    <w:rsid w:val="13A91BE1"/>
    <w:rsid w:val="13C407C9"/>
    <w:rsid w:val="13D84AA3"/>
    <w:rsid w:val="13F05A62"/>
    <w:rsid w:val="13FB08C0"/>
    <w:rsid w:val="140137CB"/>
    <w:rsid w:val="141A2ADF"/>
    <w:rsid w:val="144B713C"/>
    <w:rsid w:val="152F6116"/>
    <w:rsid w:val="15393438"/>
    <w:rsid w:val="15485429"/>
    <w:rsid w:val="154C6CC8"/>
    <w:rsid w:val="15FA4976"/>
    <w:rsid w:val="1675224E"/>
    <w:rsid w:val="17143815"/>
    <w:rsid w:val="176E561B"/>
    <w:rsid w:val="18EE62E8"/>
    <w:rsid w:val="18FE652B"/>
    <w:rsid w:val="194303E2"/>
    <w:rsid w:val="1AE94FB9"/>
    <w:rsid w:val="1B4072CF"/>
    <w:rsid w:val="1C1B73F4"/>
    <w:rsid w:val="1C1C0773"/>
    <w:rsid w:val="1C6012AB"/>
    <w:rsid w:val="1D3A7D4E"/>
    <w:rsid w:val="1D994A74"/>
    <w:rsid w:val="1E4D585F"/>
    <w:rsid w:val="1E51534F"/>
    <w:rsid w:val="1E592455"/>
    <w:rsid w:val="1F296FDD"/>
    <w:rsid w:val="204A02A8"/>
    <w:rsid w:val="205D622D"/>
    <w:rsid w:val="20A311C5"/>
    <w:rsid w:val="21676C37"/>
    <w:rsid w:val="216E6218"/>
    <w:rsid w:val="21FA5CFD"/>
    <w:rsid w:val="222D1C2F"/>
    <w:rsid w:val="2237485C"/>
    <w:rsid w:val="22C407E5"/>
    <w:rsid w:val="23E26A49"/>
    <w:rsid w:val="24253506"/>
    <w:rsid w:val="25A42208"/>
    <w:rsid w:val="26243349"/>
    <w:rsid w:val="2628235B"/>
    <w:rsid w:val="26C50688"/>
    <w:rsid w:val="27AF30E6"/>
    <w:rsid w:val="27D74B17"/>
    <w:rsid w:val="28A16ED3"/>
    <w:rsid w:val="293146FB"/>
    <w:rsid w:val="2A0D0CC4"/>
    <w:rsid w:val="2AFC049D"/>
    <w:rsid w:val="2D0D4B37"/>
    <w:rsid w:val="2DE51610"/>
    <w:rsid w:val="2E0B376C"/>
    <w:rsid w:val="2E293BF2"/>
    <w:rsid w:val="2E474078"/>
    <w:rsid w:val="2EAE2349"/>
    <w:rsid w:val="2F5F42E6"/>
    <w:rsid w:val="2F9037FD"/>
    <w:rsid w:val="2FFD70E5"/>
    <w:rsid w:val="3095731D"/>
    <w:rsid w:val="30B8125D"/>
    <w:rsid w:val="30C47C02"/>
    <w:rsid w:val="30CB2D3F"/>
    <w:rsid w:val="326F1DF0"/>
    <w:rsid w:val="32B06690"/>
    <w:rsid w:val="331A1D5C"/>
    <w:rsid w:val="337F7039"/>
    <w:rsid w:val="33E365F1"/>
    <w:rsid w:val="34B8182C"/>
    <w:rsid w:val="3577238C"/>
    <w:rsid w:val="358160C2"/>
    <w:rsid w:val="362D2113"/>
    <w:rsid w:val="362D624A"/>
    <w:rsid w:val="368F480F"/>
    <w:rsid w:val="36B424C7"/>
    <w:rsid w:val="378E0F6A"/>
    <w:rsid w:val="381C2A64"/>
    <w:rsid w:val="388A1D3C"/>
    <w:rsid w:val="38AA3B82"/>
    <w:rsid w:val="39311BAD"/>
    <w:rsid w:val="395C1320"/>
    <w:rsid w:val="397F0B6A"/>
    <w:rsid w:val="399B34CA"/>
    <w:rsid w:val="39C931BC"/>
    <w:rsid w:val="3A345DF9"/>
    <w:rsid w:val="3B0D21A6"/>
    <w:rsid w:val="3BE13D5E"/>
    <w:rsid w:val="3BEB698B"/>
    <w:rsid w:val="3C74072E"/>
    <w:rsid w:val="3CB11983"/>
    <w:rsid w:val="3CE8111C"/>
    <w:rsid w:val="3D0A2E41"/>
    <w:rsid w:val="3D5A230A"/>
    <w:rsid w:val="3E1D7E64"/>
    <w:rsid w:val="3E5C0F70"/>
    <w:rsid w:val="3E79A725"/>
    <w:rsid w:val="3E7E6BA1"/>
    <w:rsid w:val="3FD28D5C"/>
    <w:rsid w:val="3FDE4406"/>
    <w:rsid w:val="3FEED84B"/>
    <w:rsid w:val="3FFD3ABA"/>
    <w:rsid w:val="40F956A6"/>
    <w:rsid w:val="41032081"/>
    <w:rsid w:val="425964DC"/>
    <w:rsid w:val="42B51AA1"/>
    <w:rsid w:val="42D57A4D"/>
    <w:rsid w:val="431F6F1A"/>
    <w:rsid w:val="43302ED5"/>
    <w:rsid w:val="433E55F2"/>
    <w:rsid w:val="43721740"/>
    <w:rsid w:val="43776D56"/>
    <w:rsid w:val="439A302D"/>
    <w:rsid w:val="44AB4F09"/>
    <w:rsid w:val="460D74FE"/>
    <w:rsid w:val="46733805"/>
    <w:rsid w:val="474451A1"/>
    <w:rsid w:val="490D6193"/>
    <w:rsid w:val="49496A9F"/>
    <w:rsid w:val="4A111CB3"/>
    <w:rsid w:val="4A8A55C1"/>
    <w:rsid w:val="4D0E072B"/>
    <w:rsid w:val="4E4D5283"/>
    <w:rsid w:val="4EEC23A6"/>
    <w:rsid w:val="4EF92D15"/>
    <w:rsid w:val="4F275AD4"/>
    <w:rsid w:val="4FAE58AE"/>
    <w:rsid w:val="4FD25A40"/>
    <w:rsid w:val="4FE70DC0"/>
    <w:rsid w:val="501A1195"/>
    <w:rsid w:val="507C1E50"/>
    <w:rsid w:val="50DD469C"/>
    <w:rsid w:val="50F814D6"/>
    <w:rsid w:val="512D6CA6"/>
    <w:rsid w:val="51AE7DE7"/>
    <w:rsid w:val="51CE66DB"/>
    <w:rsid w:val="51F7178E"/>
    <w:rsid w:val="54E67898"/>
    <w:rsid w:val="553700F3"/>
    <w:rsid w:val="557F1D4D"/>
    <w:rsid w:val="558C48E3"/>
    <w:rsid w:val="56404CD3"/>
    <w:rsid w:val="564B3E56"/>
    <w:rsid w:val="565A22EB"/>
    <w:rsid w:val="56813D1C"/>
    <w:rsid w:val="56A65531"/>
    <w:rsid w:val="5726041F"/>
    <w:rsid w:val="57E04A72"/>
    <w:rsid w:val="58261191"/>
    <w:rsid w:val="5A307F33"/>
    <w:rsid w:val="5A3D28B8"/>
    <w:rsid w:val="5A7A7400"/>
    <w:rsid w:val="5A7D2A4C"/>
    <w:rsid w:val="5ACE5056"/>
    <w:rsid w:val="5B00605E"/>
    <w:rsid w:val="5B294982"/>
    <w:rsid w:val="5B81031A"/>
    <w:rsid w:val="5BB24978"/>
    <w:rsid w:val="5BBB1A86"/>
    <w:rsid w:val="5C8956D8"/>
    <w:rsid w:val="5CEE378D"/>
    <w:rsid w:val="5D72616D"/>
    <w:rsid w:val="5D7F5BC5"/>
    <w:rsid w:val="5DCF3A41"/>
    <w:rsid w:val="5E3B0C54"/>
    <w:rsid w:val="5E914D18"/>
    <w:rsid w:val="5EA762EA"/>
    <w:rsid w:val="5EEE216B"/>
    <w:rsid w:val="5F13397F"/>
    <w:rsid w:val="5F5C5326"/>
    <w:rsid w:val="5FBA3DFB"/>
    <w:rsid w:val="5FBDD9E0"/>
    <w:rsid w:val="5FE134EE"/>
    <w:rsid w:val="611063C8"/>
    <w:rsid w:val="617F354E"/>
    <w:rsid w:val="61DB4C28"/>
    <w:rsid w:val="63B219B9"/>
    <w:rsid w:val="64A21FD2"/>
    <w:rsid w:val="64E947E9"/>
    <w:rsid w:val="6522491C"/>
    <w:rsid w:val="65424FBE"/>
    <w:rsid w:val="656211BC"/>
    <w:rsid w:val="65913850"/>
    <w:rsid w:val="65FF4C5D"/>
    <w:rsid w:val="6753700F"/>
    <w:rsid w:val="676034DA"/>
    <w:rsid w:val="6780592A"/>
    <w:rsid w:val="67DB74E6"/>
    <w:rsid w:val="68FD36D6"/>
    <w:rsid w:val="693E784B"/>
    <w:rsid w:val="69831701"/>
    <w:rsid w:val="69EE301F"/>
    <w:rsid w:val="6A8E65B0"/>
    <w:rsid w:val="6ABA1153"/>
    <w:rsid w:val="6AC668CA"/>
    <w:rsid w:val="6B8359E9"/>
    <w:rsid w:val="6BDF5BD0"/>
    <w:rsid w:val="6BF93716"/>
    <w:rsid w:val="6C07661A"/>
    <w:rsid w:val="6C3D634D"/>
    <w:rsid w:val="6C7D068A"/>
    <w:rsid w:val="6C9F4AA4"/>
    <w:rsid w:val="6CA43E69"/>
    <w:rsid w:val="6CD116C2"/>
    <w:rsid w:val="6CD209D6"/>
    <w:rsid w:val="6D026F35"/>
    <w:rsid w:val="6E1F7C4B"/>
    <w:rsid w:val="6EA70AF3"/>
    <w:rsid w:val="6EAB14DE"/>
    <w:rsid w:val="6EE36D4A"/>
    <w:rsid w:val="6EF72976"/>
    <w:rsid w:val="6F4FE80B"/>
    <w:rsid w:val="70AE3508"/>
    <w:rsid w:val="70DE064B"/>
    <w:rsid w:val="70E76A1A"/>
    <w:rsid w:val="71D074AE"/>
    <w:rsid w:val="73D03795"/>
    <w:rsid w:val="73FC458A"/>
    <w:rsid w:val="757C3BD5"/>
    <w:rsid w:val="75EF084A"/>
    <w:rsid w:val="76D31F1A"/>
    <w:rsid w:val="76DE441B"/>
    <w:rsid w:val="76EFC72F"/>
    <w:rsid w:val="774C5829"/>
    <w:rsid w:val="777FAEB4"/>
    <w:rsid w:val="779F05E1"/>
    <w:rsid w:val="77CB2BF1"/>
    <w:rsid w:val="780F0D30"/>
    <w:rsid w:val="78370287"/>
    <w:rsid w:val="7876475E"/>
    <w:rsid w:val="79B50C32"/>
    <w:rsid w:val="7AAF2356"/>
    <w:rsid w:val="7B737828"/>
    <w:rsid w:val="7B8C08E9"/>
    <w:rsid w:val="7C06244A"/>
    <w:rsid w:val="7D32101D"/>
    <w:rsid w:val="7DEA6E0F"/>
    <w:rsid w:val="7DEF4123"/>
    <w:rsid w:val="7DEF4484"/>
    <w:rsid w:val="7E156974"/>
    <w:rsid w:val="7F4F5EB6"/>
    <w:rsid w:val="8EFCDB64"/>
    <w:rsid w:val="9DBFAB5D"/>
    <w:rsid w:val="AAFFA236"/>
    <w:rsid w:val="ACDE3249"/>
    <w:rsid w:val="B65FB197"/>
    <w:rsid w:val="BDDFD698"/>
    <w:rsid w:val="BFBF9BF8"/>
    <w:rsid w:val="BFDEB614"/>
    <w:rsid w:val="BFEFD01A"/>
    <w:rsid w:val="C6F7353F"/>
    <w:rsid w:val="D7FB2807"/>
    <w:rsid w:val="DBDB00EA"/>
    <w:rsid w:val="DDFE4F5C"/>
    <w:rsid w:val="DDFFAFC8"/>
    <w:rsid w:val="DFF54F65"/>
    <w:rsid w:val="EBFF5FE3"/>
    <w:rsid w:val="EDFD9EB0"/>
    <w:rsid w:val="F1DE9A74"/>
    <w:rsid w:val="F6DF4986"/>
    <w:rsid w:val="F8C09F2B"/>
    <w:rsid w:val="F97F8C3F"/>
    <w:rsid w:val="FBFE3037"/>
    <w:rsid w:val="FCB27FA9"/>
    <w:rsid w:val="FCFC4C22"/>
    <w:rsid w:val="FD7CF0AE"/>
    <w:rsid w:val="FFCCA58F"/>
    <w:rsid w:val="FFEF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numPr>
        <w:ilvl w:val="0"/>
        <w:numId w:val="0"/>
      </w:numPr>
      <w:kinsoku/>
      <w:wordWrap/>
      <w:overflowPunct/>
      <w:topLinePunct w:val="0"/>
      <w:autoSpaceDE/>
      <w:autoSpaceDN/>
      <w:bidi w:val="0"/>
      <w:adjustRightInd/>
      <w:snapToGrid/>
      <w:spacing w:line="560" w:lineRule="exact"/>
      <w:ind w:left="0" w:leftChars="0" w:firstLine="0" w:firstLineChars="0"/>
      <w:jc w:val="both"/>
      <w:textAlignment w:val="auto"/>
    </w:pPr>
    <w:rPr>
      <w:rFonts w:ascii="仿宋_GB2312" w:hAnsi="仿宋_GB2312" w:eastAsia="仿宋_GB2312" w:cs="黑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GraphicStyle"/>
    <w:basedOn w:val="1"/>
    <w:qFormat/>
    <w:uiPriority w:val="0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3507</Words>
  <Characters>3540</Characters>
  <Lines>0</Lines>
  <Paragraphs>0</Paragraphs>
  <TotalTime>214</TotalTime>
  <ScaleCrop>false</ScaleCrop>
  <LinksUpToDate>false</LinksUpToDate>
  <CharactersWithSpaces>3540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2025-04-24T07:44:00Z</dcterms:created>
  <dc:creator>lenovo</dc:creator>
  <cp:lastModifiedBy>user</cp:lastModifiedBy>
  <cp:lastPrinted>2025-09-05T19:23:00Z</cp:lastPrinted>
  <dcterms:modified xsi:type="dcterms:W3CDTF">2025-09-05T16:22:42Z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KSOTemplateDocerSaveRecord">
    <vt:lpwstr>eyJoZGlkIjoiNDk2Y2NjMTA2OGY2YzgxNDNlNTNhZjEzMjRhOTZiNTEiLCJ1c2VySWQiOiI0NDc1NDAzNjUifQ==</vt:lpwstr>
  </property>
  <property fmtid="{D5CDD505-2E9C-101B-9397-08002B2CF9AE}" pid="4" name="ICV">
    <vt:lpwstr>73C935B8FC3B4D0A8C777DBBC61D576F_12</vt:lpwstr>
  </property>
</Properties>
</file>