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BDCB4">
      <w:pPr>
        <w:keepNext w:val="0"/>
        <w:keepLines w:val="0"/>
        <w:pageBreakBefore w:val="0"/>
        <w:kinsoku/>
        <w:wordWrap/>
        <w:overflowPunct/>
        <w:topLinePunct w:val="0"/>
        <w:autoSpaceDE/>
        <w:autoSpaceDN/>
        <w:bidi w:val="0"/>
        <w:spacing w:line="600" w:lineRule="exact"/>
        <w:textAlignment w:val="auto"/>
        <w:rPr>
          <w:rFonts w:hint="eastAsia" w:ascii="黑体" w:hAnsi="黑体" w:eastAsia="黑体" w:cs="黑体"/>
          <w:color w:val="auto"/>
          <w:sz w:val="32"/>
          <w:szCs w:val="32"/>
        </w:rPr>
      </w:pPr>
      <w:r>
        <w:rPr>
          <w:rFonts w:hint="eastAsia" w:ascii="黑体" w:hAnsi="黑体" w:eastAsia="黑体" w:cs="黑体"/>
          <w:color w:val="auto"/>
          <w:kern w:val="2"/>
          <w:sz w:val="32"/>
          <w:szCs w:val="32"/>
        </w:rPr>
        <w:t>附件</w:t>
      </w:r>
      <w:r>
        <w:rPr>
          <w:rFonts w:hint="eastAsia" w:ascii="黑体" w:hAnsi="黑体" w:eastAsia="黑体" w:cs="黑体"/>
          <w:color w:val="auto"/>
          <w:sz w:val="32"/>
          <w:szCs w:val="32"/>
        </w:rPr>
        <w:t>2</w:t>
      </w:r>
    </w:p>
    <w:p w14:paraId="71301FF2">
      <w:pPr>
        <w:keepNext w:val="0"/>
        <w:keepLines w:val="0"/>
        <w:pageBreakBefore w:val="0"/>
        <w:kinsoku/>
        <w:wordWrap/>
        <w:overflowPunct/>
        <w:topLinePunct w:val="0"/>
        <w:autoSpaceDE/>
        <w:autoSpaceDN/>
        <w:bidi w:val="0"/>
        <w:spacing w:line="600" w:lineRule="exact"/>
        <w:jc w:val="both"/>
        <w:textAlignment w:val="auto"/>
        <w:rPr>
          <w:rFonts w:hint="default" w:ascii="Times New Roman" w:hAnsi="Times New Roman" w:eastAsia="方正小标宋简体" w:cs="Times New Roman"/>
          <w:bCs/>
          <w:color w:val="auto"/>
          <w:sz w:val="44"/>
          <w:szCs w:val="24"/>
        </w:rPr>
      </w:pPr>
    </w:p>
    <w:p w14:paraId="26DB8478">
      <w:pPr>
        <w:keepNext w:val="0"/>
        <w:keepLines w:val="0"/>
        <w:pageBreakBefore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bCs w:val="0"/>
          <w:color w:val="auto"/>
          <w:sz w:val="44"/>
          <w:szCs w:val="44"/>
          <w:lang w:eastAsia="zh-CN"/>
        </w:rPr>
      </w:pPr>
      <w:r>
        <w:rPr>
          <w:rFonts w:hint="default" w:ascii="方正小标宋简体" w:hAnsi="方正小标宋简体" w:eastAsia="方正小标宋简体" w:cs="方正小标宋简体"/>
          <w:bCs w:val="0"/>
          <w:color w:val="auto"/>
          <w:sz w:val="44"/>
          <w:szCs w:val="44"/>
        </w:rPr>
        <w:t>关于《</w:t>
      </w:r>
      <w:r>
        <w:rPr>
          <w:rFonts w:hint="eastAsia" w:ascii="方正小标宋简体" w:hAnsi="方正小标宋简体" w:eastAsia="方正小标宋简体" w:cs="方正小标宋简体"/>
          <w:bCs w:val="0"/>
          <w:color w:val="auto"/>
          <w:sz w:val="44"/>
          <w:szCs w:val="44"/>
          <w:lang w:eastAsia="zh-CN"/>
        </w:rPr>
        <w:t>加强大兴区政府投资项目概算管理</w:t>
      </w:r>
    </w:p>
    <w:p w14:paraId="02F0BFBD">
      <w:pPr>
        <w:keepNext w:val="0"/>
        <w:keepLines w:val="0"/>
        <w:pageBreakBefore w:val="0"/>
        <w:kinsoku/>
        <w:wordWrap/>
        <w:overflowPunct/>
        <w:topLinePunct w:val="0"/>
        <w:autoSpaceDE/>
        <w:autoSpaceDN/>
        <w:bidi w:val="0"/>
        <w:spacing w:line="600" w:lineRule="exact"/>
        <w:jc w:val="center"/>
        <w:textAlignment w:val="auto"/>
        <w:rPr>
          <w:rFonts w:hint="default" w:ascii="方正小标宋简体" w:hAnsi="方正小标宋简体" w:eastAsia="方正小标宋简体" w:cs="方正小标宋简体"/>
          <w:bCs w:val="0"/>
          <w:color w:val="auto"/>
          <w:sz w:val="44"/>
          <w:szCs w:val="44"/>
        </w:rPr>
      </w:pPr>
      <w:r>
        <w:rPr>
          <w:rFonts w:hint="eastAsia" w:ascii="方正小标宋简体" w:hAnsi="方正小标宋简体" w:eastAsia="方正小标宋简体" w:cs="方正小标宋简体"/>
          <w:bCs w:val="0"/>
          <w:color w:val="auto"/>
          <w:sz w:val="44"/>
          <w:szCs w:val="44"/>
          <w:lang w:eastAsia="zh-CN"/>
        </w:rPr>
        <w:t>的意见</w:t>
      </w:r>
      <w:r>
        <w:rPr>
          <w:rFonts w:hint="default" w:ascii="方正小标宋简体" w:hAnsi="方正小标宋简体" w:eastAsia="方正小标宋简体" w:cs="方正小标宋简体"/>
          <w:bCs w:val="0"/>
          <w:color w:val="auto"/>
          <w:sz w:val="44"/>
          <w:szCs w:val="44"/>
        </w:rPr>
        <w:t>（征求意见稿）》的起草说明</w:t>
      </w:r>
    </w:p>
    <w:p w14:paraId="258C7269">
      <w:pPr>
        <w:keepNext w:val="0"/>
        <w:keepLines w:val="0"/>
        <w:pageBreakBefore w:val="0"/>
        <w:kinsoku/>
        <w:wordWrap/>
        <w:overflowPunct/>
        <w:topLinePunct w:val="0"/>
        <w:autoSpaceDE/>
        <w:autoSpaceDN/>
        <w:bidi w:val="0"/>
        <w:spacing w:line="600" w:lineRule="exact"/>
        <w:ind w:firstLine="200"/>
        <w:jc w:val="center"/>
        <w:textAlignment w:val="auto"/>
        <w:rPr>
          <w:rFonts w:hint="default" w:ascii="Times New Roman" w:hAnsi="Times New Roman" w:eastAsia="仿宋_GB2312" w:cs="Times New Roman"/>
          <w:color w:val="auto"/>
          <w:sz w:val="32"/>
          <w:szCs w:val="32"/>
        </w:rPr>
      </w:pPr>
    </w:p>
    <w:p w14:paraId="249F79E7">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制定背景与目标</w:t>
      </w:r>
    </w:p>
    <w:p w14:paraId="68699D33">
      <w:pPr>
        <w:pStyle w:val="6"/>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kern w:val="0"/>
          <w:sz w:val="32"/>
          <w:szCs w:val="32"/>
          <w:lang w:val="en-US" w:eastAsia="zh-CN" w:bidi="ar-SA"/>
        </w:rPr>
      </w:pPr>
      <w:r>
        <w:rPr>
          <w:rFonts w:hint="eastAsia" w:ascii="Times New Roman" w:hAnsi="Times New Roman" w:eastAsia="仿宋_GB2312" w:cs="Times New Roman"/>
          <w:sz w:val="32"/>
          <w:szCs w:val="32"/>
          <w:lang w:eastAsia="zh-CN"/>
        </w:rPr>
        <w:t>近年来，国家和北京市对政府投资项目管理工作提出重要部署，明确要求加强政府投资监管，规范审批管理程序，强调要严格控制投资规模，规范概算编制、审批和调整程序，加强事中事后监管。</w:t>
      </w:r>
      <w:r>
        <w:rPr>
          <w:rFonts w:hint="eastAsia" w:ascii="Times New Roman" w:hAnsi="Times New Roman" w:cs="Times New Roman"/>
          <w:sz w:val="32"/>
          <w:szCs w:val="32"/>
          <w:lang w:eastAsia="zh-CN"/>
        </w:rPr>
        <w:t>政府投资项目是推动区域经济社会发展的重要抓手，概算管理是投资控制的关键环节，</w:t>
      </w:r>
      <w:r>
        <w:rPr>
          <w:rFonts w:hint="eastAsia" w:ascii="仿宋_GB2312" w:hAnsi="仿宋_GB2312" w:eastAsia="仿宋_GB2312" w:cs="仿宋_GB2312"/>
          <w:b w:val="0"/>
          <w:color w:val="000000"/>
          <w:kern w:val="2"/>
          <w:sz w:val="32"/>
          <w:szCs w:val="32"/>
        </w:rPr>
        <w:t>为优化概算审批程序，加强成本管控，</w:t>
      </w:r>
      <w:r>
        <w:rPr>
          <w:rFonts w:hint="eastAsia" w:hAnsi="仿宋_GB2312" w:cs="仿宋_GB2312"/>
          <w:b w:val="0"/>
          <w:color w:val="000000"/>
          <w:kern w:val="2"/>
          <w:sz w:val="32"/>
          <w:szCs w:val="32"/>
          <w:lang w:eastAsia="zh-CN"/>
        </w:rPr>
        <w:t>避免投资超概、资金浪费甚至廉政风险，我们</w:t>
      </w:r>
      <w:r>
        <w:rPr>
          <w:rFonts w:hint="eastAsia" w:ascii="仿宋_GB2312" w:hAnsi="仿宋_GB2312" w:eastAsia="仿宋_GB2312" w:cs="仿宋_GB2312"/>
          <w:b w:val="0"/>
          <w:color w:val="000000"/>
          <w:kern w:val="2"/>
          <w:sz w:val="32"/>
          <w:szCs w:val="32"/>
        </w:rPr>
        <w:t>按照《大兴区政府投资管理办法》（京兴政发〔2024〕15号）和有关法律、行政法规，结合本区实际，</w:t>
      </w:r>
      <w:r>
        <w:rPr>
          <w:rFonts w:hint="eastAsia" w:hAnsi="仿宋_GB2312" w:cs="仿宋_GB2312"/>
          <w:color w:val="auto"/>
          <w:kern w:val="0"/>
          <w:sz w:val="32"/>
          <w:szCs w:val="32"/>
          <w:lang w:eastAsia="zh-CN"/>
        </w:rPr>
        <w:t>拟对《关于加强政府投资项目概算管理的意见》（京兴政发</w:t>
      </w:r>
      <w:r>
        <w:rPr>
          <w:rFonts w:hint="eastAsia" w:hAnsi="仿宋_GB2312" w:cs="仿宋_GB2312"/>
          <w:color w:val="auto"/>
          <w:kern w:val="0"/>
          <w:sz w:val="32"/>
          <w:szCs w:val="32"/>
          <w:lang w:val="en-US" w:eastAsia="zh"/>
        </w:rPr>
        <w:t>[</w:t>
      </w:r>
      <w:r>
        <w:rPr>
          <w:rFonts w:hint="eastAsia" w:hAnsi="仿宋_GB2312" w:cs="仿宋_GB2312"/>
          <w:color w:val="auto"/>
          <w:kern w:val="0"/>
          <w:sz w:val="32"/>
          <w:szCs w:val="32"/>
          <w:lang w:val="en-US" w:eastAsia="zh-CN"/>
        </w:rPr>
        <w:t>2021</w:t>
      </w:r>
      <w:r>
        <w:rPr>
          <w:rFonts w:hint="eastAsia" w:hAnsi="仿宋_GB2312" w:cs="仿宋_GB2312"/>
          <w:color w:val="auto"/>
          <w:kern w:val="0"/>
          <w:sz w:val="32"/>
          <w:szCs w:val="32"/>
          <w:lang w:val="en-US" w:eastAsia="zh"/>
        </w:rPr>
        <w:t>]</w:t>
      </w:r>
      <w:r>
        <w:rPr>
          <w:rFonts w:hint="eastAsia" w:hAnsi="仿宋_GB2312" w:cs="仿宋_GB2312"/>
          <w:color w:val="auto"/>
          <w:kern w:val="0"/>
          <w:sz w:val="32"/>
          <w:szCs w:val="32"/>
          <w:lang w:val="en-US" w:eastAsia="zh-CN"/>
        </w:rPr>
        <w:t>17号</w:t>
      </w:r>
      <w:r>
        <w:rPr>
          <w:rFonts w:hint="eastAsia" w:hAnsi="仿宋_GB2312" w:cs="仿宋_GB2312"/>
          <w:color w:val="auto"/>
          <w:kern w:val="0"/>
          <w:sz w:val="32"/>
          <w:szCs w:val="32"/>
          <w:lang w:eastAsia="zh-CN"/>
        </w:rPr>
        <w:t>）进行修订。</w:t>
      </w:r>
    </w:p>
    <w:p w14:paraId="4EC36602">
      <w:pPr>
        <w:keepNext w:val="0"/>
        <w:keepLines w:val="0"/>
        <w:pageBreakBefore w:val="0"/>
        <w:widowControl w:val="0"/>
        <w:numPr>
          <w:ilvl w:val="0"/>
          <w:numId w:val="1"/>
        </w:numPr>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eastAsia="zh-CN"/>
        </w:rPr>
        <w:t>起草依据及过程</w:t>
      </w:r>
    </w:p>
    <w:p w14:paraId="3A193213">
      <w:pPr>
        <w:keepNext w:val="0"/>
        <w:keepLines w:val="0"/>
        <w:pageBreakBefore w:val="0"/>
        <w:widowControl w:val="0"/>
        <w:suppressAutoHyphens/>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依据</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color w:val="auto"/>
          <w:kern w:val="2"/>
          <w:sz w:val="32"/>
          <w:szCs w:val="32"/>
          <w:lang w:eastAsia="zh-CN"/>
        </w:rPr>
        <w:t>政府投资条例</w:t>
      </w:r>
      <w:r>
        <w:rPr>
          <w:rFonts w:hint="eastAsia" w:ascii="仿宋_GB2312" w:hAnsi="仿宋_GB2312" w:eastAsia="仿宋_GB2312" w:cs="仿宋_GB2312"/>
          <w:b w:val="0"/>
          <w:bCs w:val="0"/>
          <w:color w:val="auto"/>
          <w:sz w:val="32"/>
          <w:szCs w:val="32"/>
          <w:highlight w:val="none"/>
          <w:u w:val="none"/>
          <w:lang w:val="en-US" w:eastAsia="zh-CN"/>
        </w:rPr>
        <w:t>》和有关法律法规，参照《中央预算内直接投资项目概算管理暂行办法》、北京市《关于进一步加强政府投资项目管理优化概算审批程序的通知》要求，我们参考相关单位在政府投资项目概算管理中存在的问题及工作建议，同时，借鉴市级经验及做法，在充分研究讨论的基础上，参考市级相关政策法规，起草</w:t>
      </w:r>
      <w:r>
        <w:rPr>
          <w:rFonts w:hint="eastAsia" w:ascii="仿宋_GB2312" w:hAnsi="仿宋_GB2312" w:eastAsia="仿宋_GB2312" w:cs="仿宋_GB2312"/>
          <w:kern w:val="2"/>
          <w:sz w:val="32"/>
          <w:szCs w:val="32"/>
          <w:highlight w:val="none"/>
          <w:lang w:val="en-US" w:eastAsia="zh-CN" w:bidi="ar-SA"/>
        </w:rPr>
        <w:t>形成了《加强大兴区政府投资项目概算管理的意见（征求意见稿）》（以下简称《意见》）</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意见》征求了相关部门、各镇街及法律机构的意见，与提出修改意见的相关单位进行了沟通，达成一致后进行修改完善。《意见》将按照相关文件管理要求，拟提请区委、区政府批准执行，并以大兴区政府名义印发执行。</w:t>
      </w:r>
    </w:p>
    <w:p w14:paraId="061FC13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黑体" w:cs="Times New Roman"/>
          <w:color w:val="auto"/>
          <w:sz w:val="32"/>
          <w:szCs w:val="32"/>
          <w:lang w:eastAsia="zh-CN"/>
        </w:rPr>
        <w:t>三、主要内容</w:t>
      </w:r>
    </w:p>
    <w:p w14:paraId="0A5A8741">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意见</w:t>
      </w:r>
      <w:r>
        <w:rPr>
          <w:rFonts w:hint="eastAsia" w:ascii="仿宋_GB2312" w:hAnsi="仿宋_GB2312" w:eastAsia="仿宋_GB2312" w:cs="仿宋_GB2312"/>
          <w:color w:val="auto"/>
          <w:sz w:val="32"/>
          <w:szCs w:val="32"/>
          <w:highlight w:val="none"/>
          <w:lang w:eastAsia="zh-CN"/>
        </w:rPr>
        <w:t>》共五章十六条。</w:t>
      </w:r>
      <w:r>
        <w:rPr>
          <w:rFonts w:hint="eastAsia" w:ascii="仿宋_GB2312" w:hAnsi="仿宋_GB2312" w:eastAsia="仿宋_GB2312" w:cs="仿宋_GB2312"/>
          <w:color w:val="000000"/>
          <w:sz w:val="32"/>
          <w:szCs w:val="32"/>
          <w:lang w:eastAsia="zh-CN"/>
        </w:rPr>
        <w:t>主要内容</w:t>
      </w:r>
      <w:r>
        <w:rPr>
          <w:rFonts w:hint="eastAsia" w:ascii="仿宋_GB2312" w:hAnsi="仿宋_GB2312" w:eastAsia="仿宋_GB2312" w:cs="仿宋_GB2312"/>
          <w:color w:val="000000"/>
          <w:sz w:val="32"/>
          <w:szCs w:val="32"/>
        </w:rPr>
        <w:t>如下：</w:t>
      </w:r>
    </w:p>
    <w:p w14:paraId="5E5C4C28">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0"/>
          <w:sz w:val="32"/>
          <w:szCs w:val="24"/>
          <w:lang w:val="en-US" w:eastAsia="zh-CN"/>
        </w:rPr>
      </w:pPr>
      <w:r>
        <w:rPr>
          <w:rFonts w:hint="eastAsia" w:ascii="Times New Roman" w:hAnsi="Times New Roman" w:eastAsia="仿宋_GB2312" w:cs="Times New Roman"/>
          <w:bCs/>
          <w:kern w:val="0"/>
          <w:sz w:val="32"/>
          <w:szCs w:val="24"/>
          <w:lang w:val="en-US" w:eastAsia="zh-CN"/>
        </w:rPr>
        <w:t>第一章总则，明确政策出台的意义及适用范围。</w:t>
      </w:r>
    </w:p>
    <w:p w14:paraId="009D24A2">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0"/>
          <w:sz w:val="32"/>
          <w:szCs w:val="24"/>
          <w:lang w:val="en-US" w:eastAsia="zh-CN"/>
        </w:rPr>
      </w:pPr>
      <w:r>
        <w:rPr>
          <w:rFonts w:hint="eastAsia" w:ascii="Times New Roman" w:hAnsi="Times New Roman" w:eastAsia="仿宋_GB2312" w:cs="Times New Roman"/>
          <w:bCs/>
          <w:kern w:val="0"/>
          <w:sz w:val="32"/>
          <w:szCs w:val="24"/>
          <w:lang w:val="en-US" w:eastAsia="zh-CN"/>
        </w:rPr>
        <w:t>第二章项目前期管理，明确政府投资项目的计划编制过程、审批程序及资金变更管理程序。强化分级决策工作机制，2000万以上项目先经区政府批准；严格资金管控，各阶段批复投资均不得超审定额度，对确需变更的，根据投资规模，明确项目变更管理的具体流程。</w:t>
      </w:r>
    </w:p>
    <w:p w14:paraId="29BA27A8">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0"/>
          <w:sz w:val="32"/>
          <w:szCs w:val="24"/>
          <w:lang w:val="en-US" w:eastAsia="zh-CN"/>
        </w:rPr>
      </w:pPr>
      <w:r>
        <w:rPr>
          <w:rFonts w:hint="eastAsia" w:ascii="Times New Roman" w:hAnsi="Times New Roman" w:eastAsia="仿宋_GB2312" w:cs="Times New Roman"/>
          <w:bCs/>
          <w:kern w:val="0"/>
          <w:sz w:val="32"/>
          <w:szCs w:val="24"/>
          <w:lang w:val="en-US" w:eastAsia="zh-CN"/>
        </w:rPr>
        <w:t>第三章项目实施管理，明确政府投资项目管理需严守概算红线。经批准的初步设计概算为投资控制依据，项目单位要负主体责任，行业部门要履行监管职责。并明确因特殊情况</w:t>
      </w:r>
      <w:bookmarkStart w:id="0" w:name="_GoBack"/>
      <w:bookmarkEnd w:id="0"/>
      <w:r>
        <w:rPr>
          <w:rFonts w:hint="eastAsia" w:ascii="Times New Roman" w:hAnsi="Times New Roman" w:eastAsia="仿宋_GB2312" w:cs="Times New Roman"/>
          <w:bCs/>
          <w:kern w:val="0"/>
          <w:sz w:val="32"/>
          <w:szCs w:val="24"/>
          <w:lang w:val="en-US" w:eastAsia="zh-CN"/>
        </w:rPr>
        <w:t>确需调整概算的，应分层级提前审议；违规超概算且未履行程序的，将纳入绩效考核并依规追责。</w:t>
      </w:r>
    </w:p>
    <w:p w14:paraId="7E8587F7">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0"/>
          <w:sz w:val="32"/>
          <w:szCs w:val="24"/>
          <w:lang w:val="en-US" w:eastAsia="zh-CN"/>
        </w:rPr>
      </w:pPr>
      <w:r>
        <w:rPr>
          <w:rFonts w:hint="eastAsia" w:ascii="Times New Roman" w:hAnsi="Times New Roman" w:eastAsia="仿宋_GB2312" w:cs="Times New Roman"/>
          <w:bCs/>
          <w:kern w:val="0"/>
          <w:sz w:val="32"/>
          <w:szCs w:val="24"/>
          <w:lang w:val="en-US" w:eastAsia="zh-CN"/>
        </w:rPr>
        <w:t>第四章决算审批管理，明确项目竣工决算工作流程。项目完成竣工验收、结算审核等工作后，由投资主管部门委托专业机构评估评审。未履行超概调整程序的超概项目，须经专项审计后报区政府批准，投资主管部门依据区政府批示办理决算审批。确保财政资金合理使用与项目规范运作。</w:t>
      </w:r>
    </w:p>
    <w:p w14:paraId="08D82288">
      <w:pPr>
        <w:keepNext w:val="0"/>
        <w:keepLines w:val="0"/>
        <w:pageBreakBefore w:val="0"/>
        <w:widowControl w:val="0"/>
        <w:numPr>
          <w:ilvl w:val="0"/>
          <w:numId w:val="2"/>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kern w:val="0"/>
          <w:sz w:val="32"/>
          <w:szCs w:val="24"/>
          <w:lang w:val="en-US" w:eastAsia="zh-CN"/>
        </w:rPr>
      </w:pPr>
      <w:r>
        <w:rPr>
          <w:rFonts w:hint="eastAsia" w:ascii="Times New Roman" w:hAnsi="Times New Roman" w:eastAsia="仿宋_GB2312" w:cs="Times New Roman"/>
          <w:bCs/>
          <w:kern w:val="0"/>
          <w:sz w:val="32"/>
          <w:szCs w:val="24"/>
          <w:lang w:val="en-US" w:eastAsia="zh-CN"/>
        </w:rPr>
        <w:t>第五章附则，明确办法实施的时间。</w:t>
      </w:r>
    </w:p>
    <w:sectPr>
      <w:footerReference r:id="rId3" w:type="default"/>
      <w:pgSz w:w="11906" w:h="16838"/>
      <w:pgMar w:top="1417"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B5DA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589ED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589ED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CE5755"/>
    <w:multiLevelType w:val="singleLevel"/>
    <w:tmpl w:val="DFCE5755"/>
    <w:lvl w:ilvl="0" w:tentative="0">
      <w:start w:val="1"/>
      <w:numFmt w:val="chineseCounting"/>
      <w:suff w:val="nothing"/>
      <w:lvlText w:val="%1、"/>
      <w:lvlJc w:val="left"/>
      <w:rPr>
        <w:rFonts w:hint="eastAsia"/>
      </w:rPr>
    </w:lvl>
  </w:abstractNum>
  <w:abstractNum w:abstractNumId="1">
    <w:nsid w:val="69BB3EE9"/>
    <w:multiLevelType w:val="singleLevel"/>
    <w:tmpl w:val="69BB3EE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hMjE2ZWM0ZDMzMDQ4ZGIwMWI3ODU3YjlkYTBmNjcifQ=="/>
    <w:docVar w:name="KSO_WPS_MARK_KEY" w:val="e7cef8b0-59e2-41c8-8f70-1a27262602f6"/>
  </w:docVars>
  <w:rsids>
    <w:rsidRoot w:val="332233FF"/>
    <w:rsid w:val="018B5A7B"/>
    <w:rsid w:val="02697C92"/>
    <w:rsid w:val="03351AB3"/>
    <w:rsid w:val="034814F2"/>
    <w:rsid w:val="0B7EC13D"/>
    <w:rsid w:val="0C5252FE"/>
    <w:rsid w:val="16FF7201"/>
    <w:rsid w:val="181F0CF5"/>
    <w:rsid w:val="192232CC"/>
    <w:rsid w:val="1FFF9742"/>
    <w:rsid w:val="268B1793"/>
    <w:rsid w:val="26B87EFF"/>
    <w:rsid w:val="2D771F93"/>
    <w:rsid w:val="31B24C75"/>
    <w:rsid w:val="326E3D4C"/>
    <w:rsid w:val="332233FF"/>
    <w:rsid w:val="34442F4F"/>
    <w:rsid w:val="37771E71"/>
    <w:rsid w:val="377A2E70"/>
    <w:rsid w:val="37DF8C71"/>
    <w:rsid w:val="39383692"/>
    <w:rsid w:val="3ABF2FF3"/>
    <w:rsid w:val="3AEA0BB8"/>
    <w:rsid w:val="3DB7815B"/>
    <w:rsid w:val="3DDF49B9"/>
    <w:rsid w:val="3DEBC78C"/>
    <w:rsid w:val="3DF9AD49"/>
    <w:rsid w:val="3EF756C8"/>
    <w:rsid w:val="40755D74"/>
    <w:rsid w:val="427C4608"/>
    <w:rsid w:val="4A6B3097"/>
    <w:rsid w:val="4AED0AC6"/>
    <w:rsid w:val="4FFD9DFC"/>
    <w:rsid w:val="53B3CF85"/>
    <w:rsid w:val="5559FE41"/>
    <w:rsid w:val="56E79B8F"/>
    <w:rsid w:val="58343BE4"/>
    <w:rsid w:val="5A581950"/>
    <w:rsid w:val="5C011AE7"/>
    <w:rsid w:val="5E7FF42D"/>
    <w:rsid w:val="5FBD9696"/>
    <w:rsid w:val="5FFFF56D"/>
    <w:rsid w:val="615E62EB"/>
    <w:rsid w:val="619B3CBC"/>
    <w:rsid w:val="63003AA2"/>
    <w:rsid w:val="633FEC88"/>
    <w:rsid w:val="67769438"/>
    <w:rsid w:val="67FC0BCD"/>
    <w:rsid w:val="69FB1442"/>
    <w:rsid w:val="6AEA4BEF"/>
    <w:rsid w:val="6B56EE70"/>
    <w:rsid w:val="6B5FE4B0"/>
    <w:rsid w:val="6B690984"/>
    <w:rsid w:val="6BBD0EFB"/>
    <w:rsid w:val="6EF912FF"/>
    <w:rsid w:val="6EF998ED"/>
    <w:rsid w:val="6EFED668"/>
    <w:rsid w:val="6FD716BD"/>
    <w:rsid w:val="72DD335C"/>
    <w:rsid w:val="75BBD35D"/>
    <w:rsid w:val="76C70F6B"/>
    <w:rsid w:val="76D7B40F"/>
    <w:rsid w:val="795764D6"/>
    <w:rsid w:val="7A953032"/>
    <w:rsid w:val="7DAE4BB8"/>
    <w:rsid w:val="7DFFCD7B"/>
    <w:rsid w:val="7E5F6EE5"/>
    <w:rsid w:val="7EDE8BA8"/>
    <w:rsid w:val="7FBF3CCD"/>
    <w:rsid w:val="7FBF6FAF"/>
    <w:rsid w:val="7FFD523F"/>
    <w:rsid w:val="7FFE46EC"/>
    <w:rsid w:val="9A7753B6"/>
    <w:rsid w:val="B1FB6449"/>
    <w:rsid w:val="B3FCAAE6"/>
    <w:rsid w:val="B77F5451"/>
    <w:rsid w:val="B7FE8482"/>
    <w:rsid w:val="BDF7B4C6"/>
    <w:rsid w:val="BF78C8EA"/>
    <w:rsid w:val="BFBD112C"/>
    <w:rsid w:val="CEC997E4"/>
    <w:rsid w:val="D77BB8A9"/>
    <w:rsid w:val="DDFF3FC3"/>
    <w:rsid w:val="DFBD1D43"/>
    <w:rsid w:val="DFFBB9A3"/>
    <w:rsid w:val="E6BA5BA5"/>
    <w:rsid w:val="EE454422"/>
    <w:rsid w:val="EEEFF61C"/>
    <w:rsid w:val="EFFFC074"/>
    <w:rsid w:val="F377B179"/>
    <w:rsid w:val="F77D00F6"/>
    <w:rsid w:val="F7A5C45E"/>
    <w:rsid w:val="FB7C9E34"/>
    <w:rsid w:val="FBFE05B8"/>
    <w:rsid w:val="FDFE0783"/>
    <w:rsid w:val="FEBD5029"/>
    <w:rsid w:val="FFBAECAC"/>
    <w:rsid w:val="FFE92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qFormat/>
    <w:uiPriority w:val="0"/>
    <w:pPr>
      <w:keepNext/>
      <w:keepLines/>
      <w:spacing w:before="260" w:after="260" w:line="416" w:lineRule="auto"/>
      <w:outlineLvl w:val="2"/>
    </w:pPr>
    <w:rPr>
      <w:b/>
      <w:bCs/>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rFonts w:ascii="Times New Roman" w:hAnsi="Times New Roman" w:eastAsia="宋体" w:cs="Times New Roman"/>
      <w:szCs w:val="20"/>
    </w:rPr>
  </w:style>
  <w:style w:type="paragraph" w:styleId="5">
    <w:name w:val="Body Text Indent"/>
    <w:basedOn w:val="1"/>
    <w:next w:val="4"/>
    <w:qFormat/>
    <w:uiPriority w:val="0"/>
    <w:pPr>
      <w:spacing w:after="120"/>
      <w:ind w:left="420" w:leftChars="200"/>
    </w:pPr>
  </w:style>
  <w:style w:type="paragraph" w:styleId="6">
    <w:name w:val="Body Text"/>
    <w:basedOn w:val="1"/>
    <w:next w:val="7"/>
    <w:qFormat/>
    <w:uiPriority w:val="0"/>
    <w:pPr>
      <w:adjustRightInd w:val="0"/>
      <w:snapToGrid w:val="0"/>
      <w:spacing w:line="580" w:lineRule="exact"/>
    </w:pPr>
    <w:rPr>
      <w:rFonts w:ascii="仿宋_GB2312" w:eastAsia="仿宋_GB2312"/>
      <w:sz w:val="32"/>
      <w:szCs w:val="20"/>
    </w:rPr>
  </w:style>
  <w:style w:type="paragraph" w:styleId="7">
    <w:name w:val="header"/>
    <w:basedOn w:val="1"/>
    <w:unhideWhenUsed/>
    <w:qFormat/>
    <w:uiPriority w:val="0"/>
    <w:pPr>
      <w:pBdr>
        <w:top w:val="none" w:color="auto" w:sz="0" w:space="1"/>
        <w:left w:val="none" w:color="auto" w:sz="0" w:space="4"/>
        <w:bottom w:val="none" w:color="auto" w:sz="0" w:space="1"/>
        <w:right w:val="none" w:color="auto" w:sz="0" w:space="4"/>
      </w:pBdr>
      <w:snapToGrid w:val="0"/>
      <w:spacing w:line="240" w:lineRule="auto"/>
      <w:jc w:val="both"/>
      <w:outlineLvl w:val="9"/>
    </w:pPr>
    <w:rPr>
      <w:sz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2"/>
    <w:basedOn w:val="1"/>
    <w:next w:val="1"/>
    <w:qFormat/>
    <w:uiPriority w:val="99"/>
    <w:pPr>
      <w:ind w:left="420" w:leftChars="200"/>
    </w:pPr>
    <w:rPr>
      <w:rFonts w:ascii="Calibri" w:hAnsi="Calibri"/>
    </w:rPr>
  </w:style>
  <w:style w:type="paragraph" w:styleId="10">
    <w:name w:val="Body Text 2"/>
    <w:basedOn w:val="1"/>
    <w:unhideWhenUsed/>
    <w:qFormat/>
    <w:uiPriority w:val="0"/>
    <w:pPr>
      <w:spacing w:line="360" w:lineRule="auto"/>
      <w:ind w:firstLine="200" w:firstLineChars="200"/>
    </w:pPr>
    <w:rPr>
      <w:rFonts w:eastAsia="楷体_GB2312"/>
      <w:sz w:val="32"/>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w:basedOn w:val="6"/>
    <w:qFormat/>
    <w:uiPriority w:val="0"/>
    <w:pPr>
      <w:spacing w:beforeAutospacing="1" w:after="100" w:afterAutospacing="1"/>
      <w:ind w:left="1548" w:firstLine="420" w:firstLineChars="100"/>
    </w:pPr>
    <w:rPr>
      <w:kern w:val="0"/>
      <w:sz w:val="20"/>
      <w:szCs w:val="20"/>
    </w:r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Hyperlink"/>
    <w:basedOn w:val="15"/>
    <w:qFormat/>
    <w:uiPriority w:val="0"/>
    <w:rPr>
      <w:color w:val="0000FF"/>
      <w:u w:val="single"/>
    </w:rPr>
  </w:style>
  <w:style w:type="paragraph" w:customStyle="1" w:styleId="19">
    <w:name w:val="toc 11"/>
    <w:next w:val="1"/>
    <w:qFormat/>
    <w:uiPriority w:val="0"/>
    <w:pPr>
      <w:wordWrap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998</Words>
  <Characters>1012</Characters>
  <Lines>0</Lines>
  <Paragraphs>0</Paragraphs>
  <TotalTime>18</TotalTime>
  <ScaleCrop>false</ScaleCrop>
  <LinksUpToDate>false</LinksUpToDate>
  <CharactersWithSpaces>1012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2025-02-16T04:11:00Z</dcterms:created>
  <dc:creator>谢梦琦</dc:creator>
  <cp:lastModifiedBy>0℃</cp:lastModifiedBy>
  <cp:lastPrinted>2025-09-04T19:33:00Z</cp:lastPrinted>
  <dcterms:modified xsi:type="dcterms:W3CDTF">2025-11-10T01:51:30Z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8DCC6A9D644742BA9640329D7C338FCA</vt:lpwstr>
  </property>
  <property fmtid="{D5CDD505-2E9C-101B-9397-08002B2CF9AE}" pid="4" name="KSOTemplateDocerSaveRecord">
    <vt:lpwstr>eyJoZGlkIjoiMGQ5NTkyMjAxYTI2ZDA3ZDU3YTZiYTdhZjAxZDFiMzgiLCJ1c2VySWQiOiIyNTA5MTU2NDAifQ==</vt:lpwstr>
  </property>
</Properties>
</file>