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D43C" w14:textId="77777777" w:rsidR="00A47B1C" w:rsidRDefault="00000000">
      <w:pPr>
        <w:spacing w:line="560" w:lineRule="exact"/>
        <w:jc w:val="center"/>
        <w:rPr>
          <w:rFonts w:ascii="方正小标宋简体" w:eastAsia="方正小标宋简体" w:hAnsi="仿宋_GB2312" w:cs="方正小标宋简体" w:hint="eastAsia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关于《美丽大兴建设2026年行动计划》</w:t>
      </w:r>
    </w:p>
    <w:p w14:paraId="65E4FE1E" w14:textId="77777777" w:rsidR="00A47B1C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的起草说明</w:t>
      </w:r>
    </w:p>
    <w:p w14:paraId="14FB543F" w14:textId="77777777" w:rsidR="00A47B1C" w:rsidRDefault="00A47B1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BF87AB" w14:textId="77777777" w:rsidR="00A47B1C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一、起草背景</w:t>
      </w:r>
    </w:p>
    <w:p w14:paraId="64BBCC6D" w14:textId="77777777" w:rsidR="00A47B1C" w:rsidRDefault="00000000">
      <w:pPr>
        <w:snapToGrid w:val="0"/>
        <w:spacing w:line="560" w:lineRule="exact"/>
        <w:ind w:firstLine="64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为贯彻落实推进美丽中国建设有关意见精神，加快经济社会发展全面绿色转型，</w:t>
      </w:r>
      <w:r>
        <w:rPr>
          <w:rFonts w:ascii="仿宋_GB2312" w:eastAsia="仿宋_GB2312" w:hint="eastAsia"/>
          <w:sz w:val="32"/>
          <w:szCs w:val="32"/>
        </w:rPr>
        <w:t>推动区域生态环境质量进一步改善,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进一步提升人民群众良好生态环境的获得感和幸福感。</w:t>
      </w:r>
    </w:p>
    <w:p w14:paraId="6D7F9B17" w14:textId="77777777" w:rsidR="00A47B1C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制定依据</w:t>
      </w:r>
    </w:p>
    <w:p w14:paraId="3EF94BF7" w14:textId="77777777" w:rsidR="00A47B1C" w:rsidRDefault="00000000">
      <w:pPr>
        <w:snapToGrid w:val="0"/>
        <w:spacing w:line="560" w:lineRule="exact"/>
        <w:ind w:firstLine="645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根据市级工作方案要求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，结合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工作实际，区生态环境局牵头制定了《美丽大兴建设2026年行动计划》（以下简称《行动计划》）。</w:t>
      </w:r>
    </w:p>
    <w:p w14:paraId="3916CE7A" w14:textId="77777777" w:rsidR="00A47B1C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三、主要内容</w:t>
      </w:r>
    </w:p>
    <w:p w14:paraId="6B51EB8A" w14:textId="77777777" w:rsidR="00A47B1C" w:rsidRDefault="00000000">
      <w:pPr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1.持续污染防治攻坚</w:t>
      </w:r>
    </w:p>
    <w:p w14:paraId="1388C9BC" w14:textId="01C1B5A2" w:rsidR="00A47B1C" w:rsidRDefault="00000000">
      <w:pPr>
        <w:snapToGrid w:val="0"/>
        <w:spacing w:line="560" w:lineRule="exact"/>
        <w:ind w:firstLineChars="200" w:firstLine="640"/>
        <w:rPr>
          <w:rFonts w:ascii="仿宋_GB2312" w:eastAsia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一是共筑美丽蓝天。目标上，巩固“常态蓝”空气质量改善成效，全力推进美丽蓝天建设，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"/>
        </w:rPr>
        <w:t>全区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PM2.5年均浓度不高于30微克/立方米，优良天数比率不低于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"/>
        </w:rPr>
        <w:t>78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%，重污染天不超过3天。</w:t>
      </w:r>
      <w:r>
        <w:rPr>
          <w:rFonts w:ascii="仿宋_GB2312" w:eastAsia="仿宋_GB2312" w:cs="仿宋_GB2312" w:hint="eastAsia"/>
          <w:sz w:val="32"/>
          <w:szCs w:val="32"/>
        </w:rPr>
        <w:t>措施上，推动车（械）新能源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化促结构减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排，通过政策、资金等鼓励引导，加大重点领域、重点行业、重点区域新能源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车推广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力度，推动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lang w:bidi="ar"/>
        </w:rPr>
        <w:t>车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（械）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lang w:bidi="ar"/>
        </w:rPr>
        <w:t>结构优化升级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提升企业含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绿量促管理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减排，引导企业通过绿色绩效评价、重点行业“一厂一策”治理、</w:t>
      </w:r>
      <w:r>
        <w:rPr>
          <w:rFonts w:ascii="仿宋_GB2312" w:eastAsia="仿宋_GB2312" w:hAnsi="仿宋_GB2312" w:cs="仿宋_GB2312" w:hint="eastAsia"/>
          <w:sz w:val="32"/>
          <w:szCs w:val="32"/>
        </w:rPr>
        <w:t>环保绩效“创A退D”</w:t>
      </w:r>
      <w:r>
        <w:rPr>
          <w:rFonts w:ascii="仿宋_GB2312" w:eastAsia="仿宋_GB2312" w:cs="仿宋_GB2312" w:hint="eastAsia"/>
          <w:sz w:val="32"/>
          <w:szCs w:val="32"/>
        </w:rPr>
        <w:t>等升级，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绿色企业占比达到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35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强化治理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精细化促管理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减排</w:t>
      </w:r>
      <w:r>
        <w:rPr>
          <w:rFonts w:ascii="仿宋_GB2312" w:eastAsia="仿宋_GB2312" w:hAnsi="Calibri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推动扬尘等面源常态化治理，严格落实烟花爆竹禁放规定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结合</w:t>
      </w:r>
      <w:r w:rsidR="00F5623E">
        <w:rPr>
          <w:rFonts w:ascii="仿宋_GB2312" w:eastAsia="仿宋_GB2312" w:cs="仿宋_GB2312" w:hint="eastAsia"/>
          <w:sz w:val="32"/>
          <w:szCs w:val="32"/>
        </w:rPr>
        <w:t>区域特点</w:t>
      </w:r>
      <w:r>
        <w:rPr>
          <w:rFonts w:ascii="仿宋_GB2312" w:eastAsia="仿宋_GB2312" w:cs="仿宋_GB2312" w:hint="eastAsia"/>
          <w:sz w:val="32"/>
          <w:szCs w:val="32"/>
        </w:rPr>
        <w:t>开展治理提升。</w:t>
      </w:r>
    </w:p>
    <w:p w14:paraId="097E1233" w14:textId="77777777" w:rsidR="00A47B1C" w:rsidRDefault="00000000">
      <w:pPr>
        <w:spacing w:line="560" w:lineRule="exact"/>
        <w:ind w:firstLine="722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二是建设美丽河湖。目标上，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持续巩固水生态环境质量改善成效，地表水国家和市级考核断面达到国家及市级目标要求。区级集中式饮用水水源地水质保持稳定达标。地下水水质总体保持稳定。措施上，坚持“三水统筹”，巩固水体整治成效，聚焦汛期持续开展“清管行动”，加强排查和分析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研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判，提高污染控制水平，建设人水和谐的美丽幸福河湖。</w:t>
      </w:r>
    </w:p>
    <w:p w14:paraId="7C700D8A" w14:textId="77777777" w:rsidR="00A47B1C" w:rsidRDefault="00000000">
      <w:pPr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三是保障净土沃壤。目标上，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建设用地和农用地</w:t>
      </w:r>
      <w:r>
        <w:rPr>
          <w:rFonts w:ascii="仿宋_GB2312" w:eastAsia="仿宋_GB2312" w:hAnsi="Calibri" w:cs="仿宋_GB2312" w:hint="eastAsia"/>
          <w:sz w:val="32"/>
          <w:szCs w:val="32"/>
          <w:lang w:eastAsia="zh" w:bidi="ar"/>
        </w:rPr>
        <w:t>土壤环境安全得到有效保障，土壤环境风险得到全面管控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，土壤环境质量保持良好</w:t>
      </w:r>
      <w:r>
        <w:rPr>
          <w:rFonts w:ascii="仿宋_GB2312" w:eastAsia="仿宋_GB2312" w:hAnsi="Calibri" w:cs="仿宋_GB2312" w:hint="eastAsia"/>
          <w:sz w:val="32"/>
          <w:szCs w:val="32"/>
          <w:lang w:eastAsia="zh" w:bidi="ar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措施上，“三地”共管，实施农用地分类管理，完善建设用地再开发利用监管机制。</w:t>
      </w:r>
    </w:p>
    <w:p w14:paraId="67AC2660" w14:textId="77777777" w:rsidR="00A47B1C" w:rsidRDefault="00000000">
      <w:pPr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2.加快绿色低碳转型</w:t>
      </w:r>
    </w:p>
    <w:p w14:paraId="06927359" w14:textId="76605FCC" w:rsidR="00A47B1C" w:rsidRDefault="00000000">
      <w:pPr>
        <w:pStyle w:val="a5"/>
        <w:spacing w:line="560" w:lineRule="exact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一是应对气候变化。目标上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，</w:t>
      </w:r>
      <w:r>
        <w:rPr>
          <w:rFonts w:ascii="仿宋_GB2312" w:eastAsia="仿宋_GB2312" w:hAnsi="Calibri" w:cs="仿宋_GB2312" w:hint="eastAsia"/>
          <w:sz w:val="32"/>
          <w:szCs w:val="32"/>
        </w:rPr>
        <w:t>碳排放强度下降达到市级目标要求。</w:t>
      </w:r>
      <w:r>
        <w:rPr>
          <w:rFonts w:ascii="仿宋_GB2312" w:eastAsia="仿宋_GB2312" w:cs="仿宋_GB2312" w:hint="eastAsia"/>
          <w:sz w:val="32"/>
          <w:szCs w:val="32"/>
        </w:rPr>
        <w:t>措施上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，完善应对气候变化管理体系，推进能源、产业、建筑、供热、交通等重点领域</w:t>
      </w:r>
      <w:r>
        <w:rPr>
          <w:rFonts w:ascii="仿宋_GB2312" w:eastAsia="仿宋_GB2312" w:hAnsi="Calibri" w:cs="仿宋_GB2312" w:hint="eastAsia"/>
          <w:sz w:val="32"/>
          <w:szCs w:val="32"/>
          <w:lang w:val="zh-CN" w:bidi="ar"/>
        </w:rPr>
        <w:t>温室气体排放控制，加快构建碳足迹管理体系，加强气候适应型城市建设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4796586C" w14:textId="7B487216" w:rsidR="00A47B1C" w:rsidRDefault="00000000">
      <w:pPr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  <w:lang w:val="zh-CN" w:bidi="ar"/>
        </w:rPr>
      </w:pPr>
      <w:r>
        <w:rPr>
          <w:rFonts w:ascii="仿宋_GB2312" w:eastAsia="仿宋_GB2312" w:cs="仿宋_GB2312" w:hint="eastAsia"/>
          <w:sz w:val="32"/>
          <w:szCs w:val="32"/>
          <w:lang w:val="zh-CN" w:bidi="ar"/>
        </w:rPr>
        <w:t>二是建设“无废城市</w:t>
      </w:r>
      <w:r w:rsidR="00F5623E">
        <w:rPr>
          <w:rFonts w:ascii="仿宋_GB2312" w:eastAsia="仿宋_GB2312" w:cs="仿宋_GB2312" w:hint="eastAsia"/>
          <w:sz w:val="32"/>
          <w:szCs w:val="32"/>
          <w:lang w:val="zh-CN" w:bidi="ar"/>
        </w:rPr>
        <w:t>。</w:t>
      </w:r>
      <w:r>
        <w:rPr>
          <w:rFonts w:ascii="仿宋_GB2312" w:eastAsia="仿宋_GB2312" w:cs="仿宋_GB2312" w:hint="eastAsia"/>
          <w:sz w:val="32"/>
          <w:szCs w:val="32"/>
          <w:lang w:val="zh-CN" w:bidi="ar"/>
        </w:rPr>
        <w:t>目标上，</w:t>
      </w:r>
      <w:r>
        <w:rPr>
          <w:rFonts w:ascii="仿宋_GB2312" w:eastAsia="仿宋_GB2312" w:hAnsi="Courier New" w:cs="仿宋_GB2312" w:hint="eastAsia"/>
          <w:sz w:val="32"/>
          <w:szCs w:val="32"/>
        </w:rPr>
        <w:t>落实北京市全域“无废城市”建设工作方案，推进</w:t>
      </w:r>
      <w:proofErr w:type="gramStart"/>
      <w:r>
        <w:rPr>
          <w:rFonts w:ascii="仿宋_GB2312" w:eastAsia="仿宋_GB2312" w:hAnsi="Courier New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Courier New" w:cs="仿宋_GB2312" w:hint="eastAsia"/>
          <w:sz w:val="32"/>
          <w:szCs w:val="32"/>
        </w:rPr>
        <w:t>“无废城市”建设，危险废物填埋处置量占比同比降低。</w:t>
      </w:r>
      <w:r>
        <w:rPr>
          <w:rFonts w:ascii="仿宋_GB2312" w:eastAsia="仿宋_GB2312" w:hAnsi="Calibri" w:cs="仿宋_GB2312" w:hint="eastAsia"/>
          <w:sz w:val="32"/>
          <w:szCs w:val="32"/>
          <w:lang w:val="zh-CN" w:bidi="ar"/>
        </w:rPr>
        <w:t>措施上，</w:t>
      </w:r>
      <w:r>
        <w:rPr>
          <w:rFonts w:ascii="仿宋_GB2312" w:eastAsia="仿宋_GB2312" w:cs="仿宋_GB2312" w:hint="eastAsia"/>
          <w:sz w:val="32"/>
          <w:szCs w:val="32"/>
          <w:lang w:val="zh-CN" w:bidi="ar"/>
        </w:rPr>
        <w:t>聚焦建筑垃圾、生活垃圾、危险废物等“五类固废”，推动固体废物减量化、资源化、无害化，打造“无废”标杆；推动新污染物治理。</w:t>
      </w:r>
    </w:p>
    <w:p w14:paraId="4086D86A" w14:textId="64254761" w:rsidR="00A47B1C" w:rsidRDefault="00000000">
      <w:pPr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 w:bidi="ar"/>
        </w:rPr>
        <w:t>三是加强生态保护。目标上，生态环境质量指数（EI）力争稳中向好。措施上，</w:t>
      </w:r>
      <w:r>
        <w:rPr>
          <w:rFonts w:ascii="仿宋_GB2312" w:eastAsia="仿宋_GB2312" w:cs="仿宋_GB2312" w:hint="eastAsia"/>
          <w:sz w:val="32"/>
          <w:szCs w:val="32"/>
        </w:rPr>
        <w:t>加强生物多样性保护，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建设花园城市，</w:t>
      </w:r>
      <w:r>
        <w:rPr>
          <w:rFonts w:ascii="仿宋_GB2312" w:eastAsia="仿宋_GB2312" w:cs="仿宋_GB2312" w:hint="eastAsia"/>
          <w:sz w:val="32"/>
          <w:szCs w:val="32"/>
          <w:lang w:val="zh-CN" w:bidi="ar"/>
        </w:rPr>
        <w:t>深化生态文明示范创建，</w:t>
      </w:r>
      <w:r w:rsidR="001115D0">
        <w:rPr>
          <w:rFonts w:ascii="仿宋_GB2312" w:eastAsia="仿宋_GB2312" w:cs="仿宋_GB2312" w:hint="eastAsia"/>
          <w:sz w:val="32"/>
          <w:szCs w:val="32"/>
          <w:lang w:val="zh-CN" w:bidi="ar"/>
        </w:rPr>
        <w:t>促进生态保护可持续发展</w:t>
      </w:r>
      <w:r>
        <w:rPr>
          <w:rFonts w:ascii="仿宋_GB2312" w:eastAsia="仿宋_GB2312" w:cs="仿宋_GB2312" w:hint="eastAsia"/>
          <w:sz w:val="32"/>
          <w:szCs w:val="32"/>
          <w:lang w:val="zh-CN" w:bidi="ar"/>
        </w:rPr>
        <w:t>。</w:t>
      </w:r>
    </w:p>
    <w:p w14:paraId="18CF5387" w14:textId="77777777" w:rsidR="00A47B1C" w:rsidRDefault="00000000">
      <w:pPr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lastRenderedPageBreak/>
        <w:t>3.深化多元协同共治</w:t>
      </w:r>
    </w:p>
    <w:p w14:paraId="459C113D" w14:textId="6AD60410" w:rsidR="00A47B1C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一是区域协同建设京津</w:t>
      </w:r>
      <w:proofErr w:type="gramStart"/>
      <w:r>
        <w:rPr>
          <w:rFonts w:ascii="仿宋_GB2312" w:eastAsia="仿宋_GB2312" w:hAnsi="Courier New" w:cs="仿宋_GB2312" w:hint="eastAsia"/>
          <w:sz w:val="32"/>
          <w:szCs w:val="32"/>
        </w:rPr>
        <w:t>冀美丽</w:t>
      </w:r>
      <w:proofErr w:type="gramEnd"/>
      <w:r>
        <w:rPr>
          <w:rFonts w:ascii="仿宋_GB2312" w:eastAsia="仿宋_GB2312" w:hAnsi="Courier New" w:cs="仿宋_GB2312" w:hint="eastAsia"/>
          <w:sz w:val="32"/>
          <w:szCs w:val="32"/>
        </w:rPr>
        <w:t>中国先行区。</w:t>
      </w:r>
      <w:r>
        <w:rPr>
          <w:rFonts w:ascii="仿宋_GB2312" w:eastAsia="仿宋_GB2312" w:cs="仿宋_GB2312" w:hint="eastAsia"/>
          <w:sz w:val="32"/>
          <w:szCs w:val="32"/>
        </w:rPr>
        <w:t>全面</w:t>
      </w:r>
      <w:r w:rsidR="00F5623E">
        <w:rPr>
          <w:rFonts w:ascii="仿宋_GB2312" w:eastAsia="仿宋_GB2312" w:cs="仿宋_GB2312" w:hint="eastAsia"/>
          <w:sz w:val="32"/>
          <w:szCs w:val="32"/>
        </w:rPr>
        <w:t>落实</w:t>
      </w:r>
      <w:r w:rsidR="001115D0">
        <w:rPr>
          <w:rFonts w:ascii="仿宋_GB2312" w:eastAsia="仿宋_GB2312" w:cs="仿宋_GB2312" w:hint="eastAsia"/>
          <w:sz w:val="32"/>
          <w:szCs w:val="32"/>
        </w:rPr>
        <w:t>国家</w:t>
      </w:r>
      <w:r>
        <w:rPr>
          <w:rFonts w:ascii="仿宋_GB2312" w:eastAsia="仿宋_GB2312" w:cs="仿宋_GB2312" w:hint="eastAsia"/>
          <w:sz w:val="32"/>
          <w:szCs w:val="32"/>
        </w:rPr>
        <w:t>行动方案要求，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加快推进环境质量改善、绿色低碳转型等六方面先行任务</w:t>
      </w:r>
      <w:r>
        <w:rPr>
          <w:rFonts w:ascii="仿宋_GB2312" w:eastAsia="仿宋_GB2312" w:cs="仿宋_GB2312" w:hint="eastAsia"/>
          <w:sz w:val="32"/>
          <w:szCs w:val="32"/>
        </w:rPr>
        <w:t>，打造</w:t>
      </w:r>
      <w:r>
        <w:rPr>
          <w:rFonts w:ascii="仿宋_GB2312" w:eastAsia="仿宋_GB2312" w:hAnsi="Calibri" w:cs="仿宋_GB2312" w:hint="eastAsia"/>
          <w:sz w:val="32"/>
          <w:szCs w:val="32"/>
        </w:rPr>
        <w:t>美丽城市、美丽乡村标杆</w:t>
      </w:r>
      <w:r>
        <w:rPr>
          <w:rFonts w:ascii="仿宋_GB2312" w:eastAsia="仿宋_GB2312" w:cs="仿宋_GB2312" w:hint="eastAsia"/>
          <w:sz w:val="32"/>
          <w:szCs w:val="32"/>
        </w:rPr>
        <w:t>，加快建设减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污降碳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协同和生态修复示范区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14:paraId="4328D03D" w14:textId="77777777" w:rsidR="00A47B1C" w:rsidRDefault="00000000">
      <w:pPr>
        <w:snapToGrid w:val="0"/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Courier New" w:cs="仿宋_GB2312" w:hint="eastAsia"/>
          <w:sz w:val="32"/>
          <w:szCs w:val="32"/>
        </w:rPr>
        <w:t>二是多元共治加快形成绿色生产生活方式。</w:t>
      </w:r>
      <w:r>
        <w:rPr>
          <w:rFonts w:ascii="仿宋_GB2312" w:eastAsia="仿宋_GB2312" w:hAnsi="Calibri" w:cs="仿宋_GB2312" w:hint="eastAsia"/>
          <w:sz w:val="32"/>
          <w:szCs w:val="32"/>
        </w:rPr>
        <w:t>精准提升生态环境监测监管能力，</w:t>
      </w:r>
      <w:r>
        <w:rPr>
          <w:rFonts w:ascii="仿宋_GB2312" w:eastAsia="仿宋_GB2312" w:cs="仿宋_GB2312" w:hint="eastAsia"/>
          <w:sz w:val="32"/>
          <w:szCs w:val="32"/>
        </w:rPr>
        <w:t>加强科技创新应用，</w:t>
      </w:r>
      <w:r>
        <w:rPr>
          <w:rFonts w:ascii="仿宋_GB2312" w:eastAsia="仿宋_GB2312" w:hAnsi="Calibri" w:cs="仿宋_GB2312" w:hint="eastAsia"/>
          <w:sz w:val="32"/>
          <w:szCs w:val="32"/>
        </w:rPr>
        <w:t>探索噪声多元治理新模式</w:t>
      </w:r>
      <w:r>
        <w:rPr>
          <w:rFonts w:ascii="仿宋_GB2312" w:eastAsia="仿宋_GB2312" w:cs="仿宋_GB2312" w:hint="eastAsia"/>
          <w:sz w:val="32"/>
          <w:szCs w:val="32"/>
        </w:rPr>
        <w:t>。引导企业落实主体责任，鼓励公众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绿色出行、</w:t>
      </w:r>
      <w:r>
        <w:rPr>
          <w:rFonts w:ascii="仿宋_GB2312" w:eastAsia="仿宋_GB2312" w:hAnsi="Calibri" w:cs="仿宋_GB2312" w:hint="eastAsia"/>
          <w:sz w:val="32"/>
          <w:szCs w:val="32"/>
        </w:rPr>
        <w:t>垃圾分类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光盘行动等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加快形成全民生态文明自觉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。</w:t>
      </w:r>
    </w:p>
    <w:p w14:paraId="21607173" w14:textId="77777777" w:rsidR="00A47B1C" w:rsidRDefault="00000000">
      <w:pPr>
        <w:widowControl/>
        <w:spacing w:line="560" w:lineRule="exact"/>
        <w:ind w:firstLine="63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楷体" w:hint="eastAsia"/>
          <w:bCs/>
          <w:sz w:val="32"/>
          <w:szCs w:val="32"/>
        </w:rPr>
        <w:t>特此说明。</w:t>
      </w:r>
    </w:p>
    <w:sectPr w:rsidR="00A47B1C">
      <w:pgSz w:w="11906" w:h="16838"/>
      <w:pgMar w:top="2098" w:right="1474" w:bottom="1417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59259"/>
    <w:multiLevelType w:val="singleLevel"/>
    <w:tmpl w:val="42A5925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7867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4NzUwYmM2ZDhkZGFkMGFlYjkzM2ZjZGQ2NzQ5M2UifQ=="/>
  </w:docVars>
  <w:rsids>
    <w:rsidRoot w:val="13456187"/>
    <w:rsid w:val="000B1D0D"/>
    <w:rsid w:val="001115D0"/>
    <w:rsid w:val="005B7888"/>
    <w:rsid w:val="0070189E"/>
    <w:rsid w:val="00743330"/>
    <w:rsid w:val="00761DFD"/>
    <w:rsid w:val="0084069A"/>
    <w:rsid w:val="00A47B1C"/>
    <w:rsid w:val="00DE4B99"/>
    <w:rsid w:val="00F5623E"/>
    <w:rsid w:val="00F7753E"/>
    <w:rsid w:val="02427B6F"/>
    <w:rsid w:val="02A47B68"/>
    <w:rsid w:val="03AD01C3"/>
    <w:rsid w:val="03B05419"/>
    <w:rsid w:val="052339BD"/>
    <w:rsid w:val="0802552B"/>
    <w:rsid w:val="08BA142B"/>
    <w:rsid w:val="0CC22A57"/>
    <w:rsid w:val="0F486E4B"/>
    <w:rsid w:val="1020392F"/>
    <w:rsid w:val="10C806EC"/>
    <w:rsid w:val="13456187"/>
    <w:rsid w:val="148C4675"/>
    <w:rsid w:val="15555082"/>
    <w:rsid w:val="165C14C5"/>
    <w:rsid w:val="1B207586"/>
    <w:rsid w:val="1DC87761"/>
    <w:rsid w:val="1E104994"/>
    <w:rsid w:val="1E602428"/>
    <w:rsid w:val="1E7E79CB"/>
    <w:rsid w:val="1EA95D87"/>
    <w:rsid w:val="1FD93633"/>
    <w:rsid w:val="235D4366"/>
    <w:rsid w:val="239747ED"/>
    <w:rsid w:val="28EB3413"/>
    <w:rsid w:val="2B5D725B"/>
    <w:rsid w:val="315A2AC2"/>
    <w:rsid w:val="35AD4169"/>
    <w:rsid w:val="35C37BD4"/>
    <w:rsid w:val="39FD2E8F"/>
    <w:rsid w:val="3BE0449C"/>
    <w:rsid w:val="3CB834AB"/>
    <w:rsid w:val="41054211"/>
    <w:rsid w:val="42DC4D10"/>
    <w:rsid w:val="48346C6D"/>
    <w:rsid w:val="498E21B7"/>
    <w:rsid w:val="49A73B38"/>
    <w:rsid w:val="4CD346F0"/>
    <w:rsid w:val="50FD3AB8"/>
    <w:rsid w:val="51C863E8"/>
    <w:rsid w:val="51CD17AA"/>
    <w:rsid w:val="564F2712"/>
    <w:rsid w:val="57724D91"/>
    <w:rsid w:val="59CB1873"/>
    <w:rsid w:val="59F85463"/>
    <w:rsid w:val="60C75927"/>
    <w:rsid w:val="62C97B42"/>
    <w:rsid w:val="6474780F"/>
    <w:rsid w:val="67EE52BA"/>
    <w:rsid w:val="71AD3C11"/>
    <w:rsid w:val="73F40C79"/>
    <w:rsid w:val="75264198"/>
    <w:rsid w:val="755A35F2"/>
    <w:rsid w:val="76351C6F"/>
    <w:rsid w:val="76EE36CE"/>
    <w:rsid w:val="7E2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8B0DF"/>
  <w15:docId w15:val="{4BD43A85-368E-4C91-B99E-D6D59220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00" w:lineRule="atLeast"/>
      <w:jc w:val="center"/>
    </w:pPr>
    <w:rPr>
      <w:rFonts w:ascii="Times New Roman" w:eastAsia="宋体" w:hAnsi="Times New Roman" w:cs="Times New Roman"/>
      <w:color w:val="000000"/>
      <w:sz w:val="44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Plain Text"/>
    <w:basedOn w:val="a"/>
    <w:next w:val="9"/>
    <w:qFormat/>
    <w:rPr>
      <w:rFonts w:ascii="宋体" w:hAnsi="Courier New"/>
    </w:rPr>
  </w:style>
  <w:style w:type="paragraph" w:styleId="9">
    <w:name w:val="index 9"/>
    <w:basedOn w:val="a"/>
    <w:next w:val="a"/>
    <w:uiPriority w:val="99"/>
    <w:qFormat/>
    <w:pPr>
      <w:spacing w:before="100" w:beforeAutospacing="1" w:after="100" w:afterAutospacing="1" w:line="560" w:lineRule="exact"/>
      <w:ind w:leftChars="1600" w:left="3360" w:firstLineChars="200" w:firstLine="880"/>
      <w:jc w:val="left"/>
    </w:pPr>
    <w:rPr>
      <w:rFonts w:ascii="仿宋_GB2312" w:eastAsia="仿宋_GB2312" w:hAnsi="仿宋_GB2312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0"/>
    <w:qFormat/>
    <w:pPr>
      <w:spacing w:line="560" w:lineRule="exact"/>
      <w:ind w:firstLineChars="200" w:firstLine="420"/>
    </w:pPr>
    <w:rPr>
      <w:rFonts w:ascii="Times New Roman" w:eastAsia="宋体" w:hAnsi="Times New Roman" w:cs="Times New Roman"/>
      <w:szCs w:val="32"/>
    </w:rPr>
  </w:style>
  <w:style w:type="character" w:styleId="a7">
    <w:name w:val="page number"/>
    <w:basedOn w:val="a1"/>
    <w:qFormat/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CharCharCharChar">
    <w:name w:val="Char Char Char Char"/>
    <w:basedOn w:val="a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 FAN</cp:lastModifiedBy>
  <cp:revision>4</cp:revision>
  <dcterms:created xsi:type="dcterms:W3CDTF">2020-03-02T06:35:00Z</dcterms:created>
  <dcterms:modified xsi:type="dcterms:W3CDTF">2026-01-20T03:33:00Z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D3F3CE489B344AD5AF3F269517E912A6_13</vt:lpwstr>
  </property>
  <property fmtid="{D5CDD505-2E9C-101B-9397-08002B2CF9AE}" pid="4" name="KSOTemplateDocerSaveRecord">
    <vt:lpwstr>eyJoZGlkIjoiYmU4NzUwYmM2ZDhkZGFkMGFlYjkzM2ZjZGQ2NzQ5M2UiLCJ1c2VySWQiOiI0MjIwNDE2OTkifQ==</vt:lpwstr>
  </property>
</Properties>
</file>