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38064951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第十三章</w:t>
      </w:r>
      <w:r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凝共识造环境强监管，引导社会实现规划</w:t>
      </w:r>
      <w:bookmarkEnd w:id="0"/>
    </w:p>
    <w:p>
      <w:pPr>
        <w:spacing w:line="560" w:lineRule="exact"/>
        <w:ind w:firstLine="640"/>
        <w:jc w:val="left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本规划是全区人民共同奋斗的行动纲领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调动全区各方面的积极性和创造性，最大程度地凝聚共识、汇聚力量，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共同实现新区发展美好蓝图。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1" w:name="_Toc438064952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一、凝聚社会共识</w:t>
      </w:r>
      <w:bookmarkEnd w:id="1"/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43806495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（一）加强规划宣传</w:t>
      </w:r>
      <w:bookmarkEnd w:id="2"/>
    </w:p>
    <w:p>
      <w:pPr>
        <w:spacing w:line="560" w:lineRule="exact"/>
        <w:ind w:firstLine="640"/>
        <w:jc w:val="left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广泛开展“十三五”规划宣传。发挥镇街、园区管委会作用，加强与企业、群众的沟通交流，凝聚共识，争取支持，让公众更加了解规划。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43806495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（二）引导社会参与</w:t>
      </w:r>
      <w:bookmarkEnd w:id="3"/>
    </w:p>
    <w:p>
      <w:pPr>
        <w:spacing w:line="560" w:lineRule="exact"/>
        <w:ind w:firstLine="640"/>
        <w:jc w:val="left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调动驻区单位的积极性，引导高校、研究院所参与新区智库建设、服务科技创新和产业发展，引导企业按照规划推进产业发展。调动群众积极性，在工作的决策、实施和评价环节认真听取群众意见，引导群众参与规划任务实施，</w:t>
      </w:r>
      <w:r>
        <w:rPr>
          <w:rFonts w:hint="eastAsia" w:ascii="仿宋_GB2312" w:hAnsi="Times New Roman" w:cs="Times New Roman"/>
        </w:rPr>
        <w:t>自觉接受群众、媒体和社会各界的监督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cs="Times New Roman"/>
        </w:rPr>
        <w:t>形成全社会关注规划、参与建设和共同监督的良好氛围。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4" w:name="_Toc438064955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二、打造四个环境</w:t>
      </w:r>
      <w:bookmarkEnd w:id="4"/>
    </w:p>
    <w:p>
      <w:pPr>
        <w:spacing w:line="560" w:lineRule="exact"/>
        <w:ind w:firstLine="640"/>
        <w:jc w:val="left"/>
        <w:rPr>
          <w:rFonts w:ascii="仿宋_GB2312" w:cs="Times New Roman"/>
        </w:rPr>
      </w:pPr>
      <w:r>
        <w:rPr>
          <w:rFonts w:hint="eastAsia" w:ascii="仿宋_GB2312" w:hAnsi="Times New Roman" w:cs="Times New Roman"/>
        </w:rPr>
        <w:t>以打造良好的政务、法治、市场和生活环境为着力点，建设服务型政府，以良好的环境促进规划实施。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438064956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（一）打造规范高效政务环境</w:t>
      </w:r>
      <w:bookmarkEnd w:id="5"/>
    </w:p>
    <w:p>
      <w:pPr>
        <w:spacing w:line="560" w:lineRule="exact"/>
        <w:ind w:firstLine="640"/>
        <w:jc w:val="left"/>
        <w:rPr>
          <w:rFonts w:ascii="仿宋_GB2312" w:hAnsi="Times New Roman" w:cs="Times New Roman"/>
          <w:color w:val="000000"/>
        </w:rPr>
      </w:pPr>
      <w:r>
        <w:rPr>
          <w:rFonts w:hint="eastAsia" w:ascii="仿宋_GB2312" w:hAnsi="Times New Roman" w:cs="Times New Roman"/>
          <w:color w:val="000000"/>
        </w:rPr>
        <w:t>深化行政审批制度改革，做好国家和北京市取消、下放审批事项的衔接工作，</w:t>
      </w:r>
      <w:r>
        <w:rPr>
          <w:rFonts w:hint="eastAsia" w:ascii="仿宋_GB2312"/>
        </w:rPr>
        <w:t>进一步提高审批效率。完善政务公开制度，深入推进政府预决算信息公开，增强政策制定、项目建设的透明度和公众参与度，</w:t>
      </w:r>
      <w:r>
        <w:rPr>
          <w:rFonts w:hint="eastAsia" w:ascii="仿宋_GB2312" w:hAnsi="Times New Roman" w:cs="Times New Roman"/>
        </w:rPr>
        <w:t>打造规范高效的政务环境。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43806495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（二）打造廉洁公正法治环境</w:t>
      </w:r>
      <w:bookmarkEnd w:id="6"/>
    </w:p>
    <w:p>
      <w:pPr>
        <w:spacing w:line="560" w:lineRule="exact"/>
        <w:ind w:firstLine="640"/>
        <w:jc w:val="left"/>
        <w:rPr>
          <w:rFonts w:ascii="仿宋_GB2312" w:hAnsi="Times New Roman" w:cs="Times New Roman"/>
        </w:rPr>
      </w:pPr>
      <w:r>
        <w:rPr>
          <w:rFonts w:hint="eastAsia" w:ascii="仿宋_GB2312" w:hAnsi="Times New Roman" w:cs="Times New Roman"/>
          <w:szCs w:val="32"/>
        </w:rPr>
        <w:t>加快建设法治政府，运用法治思维和法治方式推动发展。推进政府事权规范化和行政权力运行法治化，促进严格规范公正文明执法，打造廉洁公正的法治环境。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43806495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（三）打造公平有序市场环境</w:t>
      </w:r>
      <w:bookmarkEnd w:id="7"/>
    </w:p>
    <w:p>
      <w:pPr>
        <w:spacing w:line="560" w:lineRule="exact"/>
        <w:ind w:firstLine="640"/>
        <w:jc w:val="left"/>
        <w:rPr>
          <w:rFonts w:ascii="仿宋_GB2312" w:hAnsi="Times New Roman" w:cs="Times New Roman"/>
        </w:rPr>
      </w:pPr>
      <w:r>
        <w:rPr>
          <w:rFonts w:hint="eastAsia" w:ascii="仿宋_GB2312" w:hAnsi="Times New Roman" w:cs="Times New Roman"/>
        </w:rPr>
        <w:t>厘清政府和市场边界，进一步弱化政府微观管理职能，政府少干预或不干预市场机制能够发挥作用的领域，为各类市场主体提供高效、便捷的服务，充分发挥市场在资源配置中的决定性作用，着力打造公平有序的市场环境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43806495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（四）打造配套完善生活环境</w:t>
      </w:r>
      <w:bookmarkEnd w:id="8"/>
    </w:p>
    <w:p>
      <w:pPr>
        <w:spacing w:line="560" w:lineRule="exact"/>
        <w:ind w:firstLine="640"/>
        <w:jc w:val="left"/>
        <w:rPr>
          <w:rFonts w:ascii="仿宋_GB2312" w:hAnsi="Times New Roman" w:cs="Times New Roman"/>
        </w:rPr>
      </w:pPr>
      <w:r>
        <w:rPr>
          <w:rFonts w:hint="eastAsia" w:ascii="仿宋_GB2312" w:hAnsi="Times New Roman" w:cs="Times New Roman"/>
        </w:rPr>
        <w:t>提高广大群众的出行、购物、餐饮等生活便捷程度，加强居住区环境美化，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加大公共服务设施同步规划、同步建设、同步交付使用的落实力度，</w:t>
      </w:r>
      <w:r>
        <w:rPr>
          <w:rFonts w:hint="eastAsia" w:ascii="仿宋_GB2312" w:hAnsi="Times New Roman" w:cs="Times New Roman"/>
        </w:rPr>
        <w:t>打造配套完善的生活环境。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9" w:name="_Toc438064960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三、促进人才集聚</w:t>
      </w:r>
      <w:bookmarkEnd w:id="9"/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43806496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（一）创新人才发展机制</w:t>
      </w:r>
      <w:bookmarkEnd w:id="10"/>
    </w:p>
    <w:p>
      <w:pPr>
        <w:spacing w:line="560" w:lineRule="exact"/>
        <w:ind w:firstLine="640"/>
        <w:jc w:val="left"/>
        <w:rPr>
          <w:rFonts w:ascii="仿宋_GB2312" w:hAnsi="Times New Roman" w:cs="Times New Roman"/>
        </w:rPr>
      </w:pPr>
      <w:r>
        <w:rPr>
          <w:rFonts w:hint="eastAsia" w:ascii="仿宋_GB2312" w:hAnsi="Times New Roman" w:cs="Times New Roman"/>
        </w:rPr>
        <w:t>强化党委统一领导，组织部门牵头抓总，有关部门各司其职、密切配合，社会力量广泛参与的人才工作格局。强化新区人才工作协调领导小组作用，完善区级领导联系专家制度。创新管理与服务机制，推进政府人才管理职能向调动主管部门和发挥企业主体作用、培育创业创新平台、创造良好发展环境、提供优质高效服务转变，不断完善政策体系。加快人才工作国际化进度，探索与国际接轨的管理制度。健全工作目标责任制，提高人才工作在各级党政领导班子综合考核指标体系中的权重。加大人才工作的保障力度，确保经费来源充足、投入方式多样化、有合理的增幅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43806496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（二）统筹人才队伍建设</w:t>
      </w:r>
      <w:bookmarkEnd w:id="11"/>
    </w:p>
    <w:p>
      <w:pPr>
        <w:spacing w:line="560" w:lineRule="exact"/>
        <w:ind w:firstLine="640"/>
        <w:jc w:val="left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</w:rPr>
        <w:t>统筹推进党政人才、企业经营管理人才、社会工作人才和农村实用人才等队伍建设。推动产业和公共服务领域人才队伍协调发展，重点提升教育、卫生、文化、体育领域人才队伍的公共服务能力。鼓励用人单位以岗位聘用、项目聘用等灵活方式引进急需、紧缺人才。推动大兴区与开发区在引进高端人才、落实支持政策、使用专项资金、打造服务平台和舆论阵地等方面的资源共享，实现人才资源在新区内部优化配置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12" w:name="_Toc438064963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四、加强市场监管</w:t>
      </w:r>
      <w:bookmarkEnd w:id="12"/>
    </w:p>
    <w:p>
      <w:pPr>
        <w:spacing w:line="560" w:lineRule="exact"/>
        <w:ind w:firstLine="640"/>
        <w:jc w:val="left"/>
        <w:rPr>
          <w:rFonts w:ascii="仿宋_GB2312" w:cs="Times New Roman"/>
          <w:bCs/>
        </w:rPr>
      </w:pPr>
      <w:r>
        <w:rPr>
          <w:rFonts w:hint="eastAsia" w:ascii="仿宋_GB2312" w:hAnsi="Times New Roman" w:cs="Times New Roman"/>
        </w:rPr>
        <w:t>强化政府的市场监管职能，构建监管主体多元化、监管队伍专业化、监管信息共享化的监管机制。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433362225"/>
      <w:bookmarkStart w:id="14" w:name="_Toc43806496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（一）完善市场监管机制</w:t>
      </w:r>
      <w:bookmarkEnd w:id="13"/>
      <w:bookmarkEnd w:id="14"/>
    </w:p>
    <w:p>
      <w:pPr>
        <w:spacing w:line="560" w:lineRule="exact"/>
        <w:ind w:firstLine="640"/>
        <w:jc w:val="left"/>
        <w:rPr>
          <w:rFonts w:ascii="仿宋_GB2312" w:hAnsi="宋体"/>
        </w:rPr>
      </w:pPr>
      <w:r>
        <w:rPr>
          <w:rFonts w:hint="eastAsia" w:ascii="仿宋_GB2312" w:hAnsi="宋体"/>
        </w:rPr>
        <w:t>规范执法程序，加强执法检查，落实监管责任制和责任追究制。提升执法人员专业技能。加强食品药品、节能环保、安全生产、文化市场等领域的专项整治。</w:t>
      </w:r>
      <w:r>
        <w:rPr>
          <w:rFonts w:hint="eastAsia" w:ascii="仿宋_GB2312" w:hAnsi="Times New Roman" w:cs="Times New Roman"/>
        </w:rPr>
        <w:t>完善“各界参与、全面监督”的社会监管机制。</w:t>
      </w:r>
      <w:r>
        <w:rPr>
          <w:rFonts w:hint="eastAsia" w:ascii="仿宋_GB2312" w:hAnsi="宋体"/>
        </w:rPr>
        <w:t>发挥行业协会在行业准入、标准制定、违规处罚、企业竞争秩序维护等方面的监督作用。</w:t>
      </w:r>
      <w:r>
        <w:rPr>
          <w:rFonts w:hint="eastAsia" w:ascii="仿宋_GB2312" w:hAnsi="Times New Roman" w:cs="Times New Roman"/>
        </w:rPr>
        <w:t>发挥媒体的舆论监督作用。</w:t>
      </w:r>
      <w:r>
        <w:rPr>
          <w:rFonts w:hint="eastAsia" w:ascii="仿宋_GB2312" w:hAnsi="宋体"/>
        </w:rPr>
        <w:t>运用聘请监督员、设立群众监督平台等方式，畅通群众监管渠道。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_Toc433362227"/>
      <w:bookmarkStart w:id="16" w:name="_Toc43806496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（二）推动监管信息共享</w:t>
      </w:r>
      <w:bookmarkEnd w:id="15"/>
      <w:bookmarkEnd w:id="16"/>
    </w:p>
    <w:p>
      <w:pPr>
        <w:spacing w:line="560" w:lineRule="exact"/>
        <w:ind w:firstLine="640"/>
        <w:jc w:val="left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/>
        </w:rPr>
        <w:t>加强各监管部门的信息共享，</w:t>
      </w:r>
      <w:r>
        <w:rPr>
          <w:rFonts w:hint="eastAsia" w:ascii="仿宋_GB2312" w:hAnsi="Times New Roman" w:cs="Times New Roman"/>
        </w:rPr>
        <w:t>设立市场监管信息共享平台，适时向社会发布信息。加强企业信用信息平台建设，建立企业、个人诚信体系，全面实施“诚信褒奖，失信惩戒”的市场诚信机制。</w:t>
      </w:r>
      <w:bookmarkStart w:id="17" w:name="_GoBack"/>
      <w:bookmarkEnd w:id="17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A539C"/>
    <w:rsid w:val="5C7C62FB"/>
    <w:rsid w:val="652A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2021-11-12T02:42:00Z</dcterms:created>
  <dc:creator>wyn</dc:creator>
  <cp:lastModifiedBy>wyn</cp:lastModifiedBy>
  <dcterms:modified xsi:type="dcterms:W3CDTF">2021-11-12T02:52:25Z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064B912A24AB47199A0C2B0DC1D876B2</vt:lpwstr>
  </property>
</Properties>
</file>