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720" w:line="560" w:lineRule="exact"/>
        <w:ind w:firstLine="0" w:firstLineChars="0"/>
        <w:jc w:val="center"/>
        <w:rPr>
          <w:rFonts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438064875"/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第九章</w:t>
      </w:r>
      <w:r>
        <w:rPr>
          <w:rFonts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提升绿色集约水平，打造生态宜居环境</w:t>
      </w:r>
      <w:bookmarkEnd w:id="0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szCs w:val="32"/>
        </w:rPr>
        <w:t>绿色集约是可持续发展和宜居建设的重要体现。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“十三五”时期，要把生态文明融入经济社会发展全过程，扩大环境容量生态空间，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促进资源节约集约利用，以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天蓝、地绿、水净为目标，打造生态宜居环境。</w:t>
      </w:r>
    </w:p>
    <w:p>
      <w:pPr>
        <w:keepNext/>
        <w:keepLines/>
        <w:spacing w:before="240" w:after="240" w:line="560" w:lineRule="exact"/>
        <w:ind w:firstLine="640"/>
        <w:outlineLvl w:val="1"/>
        <w:rPr>
          <w:rFonts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1" w:name="_Toc438064876"/>
      <w:r>
        <w:rPr>
          <w:rFonts w:hint="eastAsia"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一、保护和修复自然生态系统</w:t>
      </w:r>
      <w:bookmarkEnd w:id="1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</w:rPr>
        <w:t>树立“绿水青山就是金山银山”理念，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让森林绿地融入百姓生活，让河流湿地展现美好风貌，让人与自然更加亲近和谐。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438064877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（一）完善森林绿地系统</w:t>
      </w:r>
      <w:bookmarkEnd w:id="2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建设南海子公园二期，推进永定河森林公园（大兴段）、南中轴森林公园建设。在机场周边打造“几何状、大色块”森林景观。</w:t>
      </w:r>
      <w:r>
        <w:rPr>
          <w:rFonts w:hint="eastAsia" w:ascii="仿宋_GB2312" w:hAnsi="宋体"/>
          <w:szCs w:val="32"/>
        </w:rPr>
        <w:t>沿京台高速等交通干线建设永久绿化带，沿永定河等河流建设生态景观带。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加强城市绿地建设，实现人均公共绿地面积达到14.5平方米，推广屋顶绿化、垂直绿化。建设城乡“健康绿道”，服务居民健身休闲和绿色出行。</w:t>
      </w:r>
      <w:r>
        <w:rPr>
          <w:rFonts w:hint="eastAsia" w:ascii="仿宋_GB2312" w:hAnsi="Times New Roman"/>
          <w:color w:val="000000"/>
        </w:rPr>
        <w:t>加强绿色资源管控，健全绿隔地区腾退空间绿化美化政策机制，加强城镇绿地、平原生态林、防护林养护管理，对</w:t>
      </w:r>
      <w:r>
        <w:rPr>
          <w:rFonts w:hint="eastAsia" w:ascii="仿宋_GB2312"/>
          <w:szCs w:val="32"/>
        </w:rPr>
        <w:t>林地、绿地实施数据库动态管理。形成以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绿色生态南中轴、永定河和凉水河凤河森林景观带、三座新城绿化组团为重点，以绿化廊道和绿化景观节点为支撑的“一轴两带三组团、廊道节点相融合”生态绿化格局。</w:t>
      </w:r>
    </w:p>
    <w:p>
      <w:pPr>
        <w:spacing w:line="240" w:lineRule="auto"/>
        <w:ind w:firstLine="0" w:firstLineChars="0"/>
        <w:jc w:val="center"/>
        <w:rPr>
          <w:rFonts w:ascii="仿宋_GB2312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仿宋_GB2312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679950" cy="4057015"/>
            <wp:effectExtent l="9525" t="9525" r="9525" b="10160"/>
            <wp:docPr id="4" name="图片 4" descr="F:\园林区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园林区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4057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0" w:firstLineChars="0"/>
        <w:jc w:val="center"/>
        <w:rPr>
          <w:rFonts w:ascii="黑体" w:hAnsi="黑体" w:eastAsia="黑体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图5 生态绿化空间示意图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_Toc438064878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（二）恢复水系生态功能</w:t>
      </w:r>
      <w:bookmarkEnd w:id="3"/>
    </w:p>
    <w:p>
      <w:pPr>
        <w:spacing w:line="560" w:lineRule="exact"/>
        <w:ind w:firstLine="64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推动永定河生态供水，逐步恢复自然生态系统。完成一至四期中小河道治理，治理总长度达到123公里。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改善永定河、永兴河等河道亲水条件，打造近水堤岸景观。沟通念坛公园和永兴河，凉水河、南海子公园和新凤河，实现水循环流动。综合利用埝坛水库、团河行宫、大泡子湿地、长子营镇湿地、青云店镇杨各庄湿地，在汛期蓄滞涝水，在非汛期作为湿地公园。按河道防洪标准建设堤防，疏挖治理河道，设计分洪通道，确保防洪安全。因地制宜确定各排涝区的防涝标准，增强排水能力，规划建设蓄滞洪区，保障排涝通畅。</w:t>
      </w:r>
    </w:p>
    <w:p>
      <w:pPr>
        <w:keepNext/>
        <w:keepLines/>
        <w:spacing w:before="240" w:after="240" w:line="560" w:lineRule="exact"/>
        <w:ind w:firstLine="640"/>
        <w:outlineLvl w:val="1"/>
        <w:rPr>
          <w:rFonts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4" w:name="_Toc438064879"/>
      <w:r>
        <w:rPr>
          <w:rFonts w:hint="eastAsia"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二、全面加强污染防治</w:t>
      </w:r>
      <w:bookmarkEnd w:id="4"/>
    </w:p>
    <w:p>
      <w:pPr>
        <w:spacing w:line="560" w:lineRule="exact"/>
        <w:ind w:firstLine="640"/>
        <w:rPr>
          <w:rFonts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坚决打好环境污染</w:t>
      </w:r>
      <w:r>
        <w:rPr>
          <w:rFonts w:hint="eastAsia"/>
          <w:lang w:val="en-US" w:eastAsia="zh-CN"/>
        </w:rPr>
        <w:t>防治</w:t>
      </w:r>
      <w:bookmarkStart w:id="14" w:name="_GoBack"/>
      <w:bookmarkEnd w:id="14"/>
      <w:r>
        <w:rPr>
          <w:rFonts w:hint="eastAsia"/>
        </w:rPr>
        <w:t>攻坚战，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全力解决大气、污水、垃圾等突出的环境问题，全面改善环境质量。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Toc438064880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（一）坚决改善空气质量</w:t>
      </w:r>
      <w:bookmarkEnd w:id="5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坚持预防为主、源头治理，通过“调、提、建、减、推”综合施策，实现空气质量有效改善。</w:t>
      </w:r>
    </w:p>
    <w:p>
      <w:pPr>
        <w:spacing w:line="560" w:lineRule="exact"/>
        <w:ind w:firstLine="643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优化用能结构。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完成康庄、观音寺供热厂及其他燃煤锅炉的煤改气工程，推动新建建筑采用清洁能源供热，实现全区清洁能源供热比例达到100%。大力</w:t>
      </w:r>
      <w:r>
        <w:rPr>
          <w:rFonts w:hint="eastAsia" w:ascii="仿宋_GB2312" w:hAnsi="Times New Roman" w:cs="Times New Roman"/>
          <w:spacing w:val="-6"/>
          <w:szCs w:val="32"/>
        </w:rPr>
        <w:t>实施农村地区煤改电、煤改气工程，推动农业生产设施、农村公共设施、农村企事业单位使用清洁能源。积极推广利用太阳能、地热等新能源。</w:t>
      </w:r>
    </w:p>
    <w:p>
      <w:pPr>
        <w:spacing w:line="560" w:lineRule="exact"/>
        <w:ind w:firstLine="643"/>
      </w:pPr>
      <w:r>
        <w:rPr>
          <w:rFonts w:hint="eastAsia" w:ascii="仿宋_GB2312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减少机动车排放。</w:t>
      </w:r>
      <w:r>
        <w:rPr>
          <w:rFonts w:hint="eastAsia"/>
        </w:rPr>
        <w:t>按照国家及北京市标准淘汰车辆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，落实北京市第六阶段机动车污染物排放标准和车用燃油标准。加大机动车尾气监管，推动机动车加装尾气后处理装置。</w:t>
      </w:r>
      <w:r>
        <w:rPr>
          <w:rFonts w:hint="eastAsia"/>
        </w:rPr>
        <w:t>全区公交客运全部使用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新能源和清洁能源车辆。</w:t>
      </w:r>
      <w:r>
        <w:rPr>
          <w:rFonts w:hint="eastAsia" w:ascii="仿宋_GB2312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扩大电动出租车覆盖范围，</w:t>
      </w:r>
      <w:r>
        <w:rPr>
          <w:rFonts w:hint="eastAsia"/>
        </w:rPr>
        <w:t>完善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充电设施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推动电动出租车停车区域实现“一车一桩”。</w:t>
      </w:r>
    </w:p>
    <w:p>
      <w:pPr>
        <w:spacing w:line="560" w:lineRule="exact"/>
        <w:ind w:firstLine="643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/>
          <w:shd w:val="clear" w:color="auto" w:fill="FFFFFF"/>
        </w:rPr>
        <w:t>加强监管执法。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杜绝秸秆焚烧、垃圾焚烧、露天烧烤，严控工业气态污染物、餐饮废气排放，强化工地和道路扬尘控制。加强监测力度，增加监测设施，建立市级控点和区级站点组成的监测体系。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_Toc438064881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（二）加强城乡污水处理</w:t>
      </w:r>
      <w:bookmarkEnd w:id="6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以全区污水处理率达到95%为目标，全面增强新城、各镇和农村的污水处理能力。建设机场等污水处理厂，改造升级</w:t>
      </w:r>
      <w:r>
        <w:rPr>
          <w:rFonts w:hint="eastAsia" w:ascii="仿宋_GB2312" w:hAnsi="Times New Roman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亦庄、瀛海等污水处理厂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，实现各镇均建有污水处理厂，建设农村污水收集和处理设施，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完善配套管网，全面实施新城和园区截污工程。建设黄村污泥处理厂，实现污泥处理率达到100％。加强水环境监测，增强突发性水污染事故的应急处置能力。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438064882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（三）提升垃圾治理水平</w:t>
      </w:r>
      <w:bookmarkEnd w:id="7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按照减量化、无害化、资源化的原则，加强垃圾源头控制，减少生产生活中废弃物产生，通过建立分类制度和增强居民意识等方式强化垃圾分类管理，增强垃圾管理、处理和再利用能力。优化城镇垃圾处理站布局，升级改造村庄垃圾转运站，推动焚烧和生化处理，促进垃圾无害化处理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8" w:name="_Toc438064883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（四）有效控制噪声污染</w:t>
      </w:r>
      <w:bookmarkEnd w:id="8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加强噪声污染源防控，严格监管建筑施工和工业生产噪声，有效管控交通运输、商业、娱乐业以及家庭生活噪声。合理规划机场周边设施，避免飞机噪声扰民，最大限度降低噪声污染。</w:t>
      </w:r>
    </w:p>
    <w:p>
      <w:pPr>
        <w:keepNext/>
        <w:keepLines/>
        <w:spacing w:before="240" w:after="240" w:line="560" w:lineRule="exact"/>
        <w:ind w:firstLine="640"/>
        <w:outlineLvl w:val="1"/>
        <w:rPr>
          <w:rFonts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9" w:name="_Toc438064884"/>
      <w:r>
        <w:rPr>
          <w:rFonts w:hint="eastAsia"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三、节约集约利用资源能源</w:t>
      </w:r>
      <w:bookmarkEnd w:id="9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加强资源能源利用管理，倡导</w:t>
      </w:r>
      <w:r>
        <w:rPr>
          <w:rFonts w:hint="eastAsia" w:ascii="仿宋_GB2312" w:hAnsi="Times New Roman" w:cs="Times New Roman"/>
          <w:szCs w:val="32"/>
        </w:rPr>
        <w:t>绿色低碳生产生活方式，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让</w:t>
      </w:r>
      <w:r>
        <w:rPr>
          <w:rFonts w:hint="eastAsia" w:ascii="仿宋_GB2312" w:hAnsi="Times New Roman" w:cs="Times New Roman"/>
          <w:color w:val="000000"/>
          <w:szCs w:val="32"/>
        </w:rPr>
        <w:t>节约集约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理念落实到经济社会发展各个环节。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0" w:name="_Toc438064885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（一）推进节水型社会建设</w:t>
      </w:r>
      <w:bookmarkEnd w:id="10"/>
    </w:p>
    <w:p>
      <w:pPr>
        <w:spacing w:line="560" w:lineRule="exact"/>
        <w:ind w:firstLine="640"/>
        <w:rPr>
          <w:rFonts w:ascii="仿宋_GB2312" w:hAnsi="Times New Roman" w:cs="Times New Roman"/>
          <w:color w:val="000000"/>
          <w:szCs w:val="32"/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坚持“以水定城、以水定地、以水定人、以水定产”原则，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建设节水型社会。划定农业生产空间，</w:t>
      </w:r>
      <w:r>
        <w:rPr>
          <w:rFonts w:hint="eastAsia" w:ascii="仿宋_GB2312" w:hAnsi="Times New Roman" w:cs="Times New Roman"/>
          <w:color w:val="000000"/>
          <w:szCs w:val="32"/>
        </w:rPr>
        <w:t>调整种植结构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cs="Times New Roman"/>
          <w:color w:val="000000"/>
          <w:szCs w:val="32"/>
        </w:rPr>
        <w:t>有序退出南部礼贤、榆垡等6个严重超采区域镇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的传统粮食生产，推动</w:t>
      </w:r>
      <w:r>
        <w:rPr>
          <w:rFonts w:hint="eastAsia" w:ascii="仿宋_GB2312" w:hAnsi="Times New Roman" w:cs="Times New Roman"/>
          <w:color w:val="000000"/>
          <w:szCs w:val="32"/>
        </w:rPr>
        <w:t>高效节水设施全覆盖，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逐步压减地下水开采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cs="Times New Roman"/>
          <w:color w:val="000000"/>
          <w:szCs w:val="32"/>
        </w:rPr>
        <w:t>制定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仿宋_GB2312" w:hAnsi="Times New Roman" w:cs="Times New Roman"/>
          <w:color w:val="000000"/>
          <w:szCs w:val="32"/>
        </w:rPr>
        <w:t>用水定额和节水标准，对企业用水进行管理考核，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推动企业实施节水改造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cs="Times New Roman"/>
          <w:color w:val="000000"/>
          <w:szCs w:val="32"/>
        </w:rPr>
        <w:t>对运行使用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年限较长</w:t>
      </w:r>
      <w:r>
        <w:rPr>
          <w:rFonts w:hint="eastAsia" w:ascii="仿宋_GB2312" w:hAnsi="Times New Roman" w:cs="Times New Roman"/>
          <w:color w:val="000000"/>
          <w:szCs w:val="32"/>
        </w:rPr>
        <w:t>、严重老化和漏损严重的供水管网进行改造，严控公共供水管网漏损率。推动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海绵城市建设，建设集中下凹式绿地湿地，推进新建道路下渗式设计，发展自然积存、自然渗透、自然净化的城市雨洪利用系统。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1" w:name="_Toc438064886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（二）推进节能型社会建设</w:t>
      </w:r>
      <w:bookmarkEnd w:id="11"/>
    </w:p>
    <w:p>
      <w:pPr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/>
          <w:szCs w:val="32"/>
        </w:rPr>
        <w:t>严格控制能源消费总量，有效降低能耗强度。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严控新增产业，</w:t>
      </w:r>
      <w:r>
        <w:rPr>
          <w:rFonts w:hint="eastAsia" w:ascii="仿宋_GB2312" w:hAnsi="Times New Roman" w:cs="Times New Roman"/>
          <w:color w:val="000000"/>
          <w:szCs w:val="32"/>
        </w:rPr>
        <w:t>退出高耗能企业。淘汰低效锅炉、风机、水泵等设备，实施余热回收、热电联产、电机系统节能、工业锅炉节能等技术改造。发展绿色建筑，推动既有建筑节能改造，推广使用新型墙体材料和节能产品。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2" w:name="_Toc438064887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（三）加强土地集约利用</w:t>
      </w:r>
      <w:bookmarkEnd w:id="12"/>
    </w:p>
    <w:p>
      <w:pPr>
        <w:spacing w:line="560" w:lineRule="exact"/>
        <w:ind w:firstLine="640"/>
        <w:rPr>
          <w:rFonts w:ascii="仿宋_GB2312" w:hAnsi="Times New Roman"/>
          <w:bCs/>
          <w:szCs w:val="32"/>
        </w:rPr>
      </w:pPr>
      <w:r>
        <w:rPr>
          <w:rFonts w:hint="eastAsia" w:ascii="仿宋_GB2312" w:hAnsi="Times New Roman" w:cs="Times New Roman"/>
          <w:color w:val="000000"/>
          <w:szCs w:val="32"/>
        </w:rPr>
        <w:t>按照严控新增、盘活存量、优化结构、提高效率的思路，大力推进节约集约用地，促进土地利用方式转变。强化土地利用总体规划和城市总体规划的管控作用，合理确定建设用地规模和城市开发边界，在安排新增建设用地时同步减少原有存量建设用地。</w:t>
      </w:r>
      <w:r>
        <w:rPr>
          <w:rFonts w:hint="eastAsia" w:ascii="仿宋_GB2312" w:hAnsi="Times New Roman"/>
          <w:bCs/>
          <w:szCs w:val="32"/>
        </w:rPr>
        <w:t>促进产业用地</w:t>
      </w:r>
      <w:r>
        <w:rPr>
          <w:rFonts w:hint="eastAsia" w:ascii="仿宋_GB2312" w:hAnsi="Times New Roman"/>
          <w:color w:val="000000" w:themeColor="text1"/>
          <w14:textFill>
            <w14:solidFill>
              <w14:schemeClr w14:val="tx1"/>
            </w14:solidFill>
          </w14:textFill>
        </w:rPr>
        <w:t>节约利用，</w:t>
      </w:r>
      <w:r>
        <w:rPr>
          <w:rFonts w:hint="eastAsia" w:ascii="仿宋_GB2312" w:hAnsi="Times New Roman"/>
          <w:bCs/>
          <w:szCs w:val="32"/>
        </w:rPr>
        <w:t>探索工业用地弹性出让年限、先租赁后出让、租让结合等供地方式。</w:t>
      </w:r>
      <w:r>
        <w:rPr>
          <w:rFonts w:hint="eastAsia" w:ascii="仿宋_GB2312" w:hAnsi="Times New Roman"/>
          <w:szCs w:val="32"/>
        </w:rPr>
        <w:t>开展土地利</w:t>
      </w:r>
      <w:r>
        <w:rPr>
          <w:rFonts w:hint="eastAsia" w:ascii="仿宋_GB2312" w:hAnsi="Times New Roman"/>
          <w:bCs/>
          <w:szCs w:val="32"/>
        </w:rPr>
        <w:t>用评价，建立综合反映企业用地强度、用地效益、地均就业、地均能耗等情况的评价体系。加强对闲置、低效用地的管理和盘活使用，鼓励追加投资，有序推进用地再开发，提高存量建设用地在土地供应总量中的比重。采用土地整治、城乡建设用地增减挂钩等方式，推进田、水、路、林、村综合整治，促进农村低效和空闲土地盘活利用。探索企业利用工业用地建设总部和研发中心，优化工业用地容积率。鼓励改造利用原有厂房、仓储用房发展文化创意等现代服务业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3" w:name="_Toc438064888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（四）倡导绿色低碳生活</w:t>
      </w:r>
      <w:bookmarkEnd w:id="13"/>
    </w:p>
    <w:p>
      <w:r>
        <w:rPr>
          <w:rFonts w:hint="eastAsia" w:ascii="仿宋_GB2312" w:hAnsi="Times New Roman" w:cs="Times New Roman"/>
          <w:szCs w:val="32"/>
        </w:rPr>
        <w:t>开展节能、节水教育进学校、进机关、进社区、进村庄活动，引导群众树立节约、集约和循环使用资源的理念。</w:t>
      </w:r>
      <w:r>
        <w:rPr>
          <w:rFonts w:hint="eastAsia" w:ascii="仿宋_GB2312" w:hAnsi="Times New Roman" w:cs="Times New Roman"/>
          <w:color w:val="000000"/>
          <w:szCs w:val="32"/>
        </w:rPr>
        <w:t>进一步推广节能、节水的技术和产品，</w:t>
      </w:r>
      <w:r>
        <w:rPr>
          <w:rFonts w:hint="eastAsia" w:ascii="仿宋_GB2312" w:hAnsi="Times New Roman" w:cs="Times New Roman"/>
          <w:szCs w:val="32"/>
        </w:rPr>
        <w:t>鼓励居民购买使用节能家电和</w:t>
      </w:r>
      <w:r>
        <w:rPr>
          <w:rFonts w:hint="eastAsia" w:ascii="仿宋_GB2312" w:hAnsi="Times New Roman" w:cs="Times New Roman"/>
          <w:color w:val="000000"/>
          <w:szCs w:val="32"/>
        </w:rPr>
        <w:t>节水器具，</w:t>
      </w:r>
      <w:r>
        <w:rPr>
          <w:rFonts w:hint="eastAsia" w:ascii="仿宋_GB2312" w:hAnsi="Times New Roman" w:cs="Times New Roman"/>
          <w:szCs w:val="32"/>
        </w:rPr>
        <w:t>让绿色低碳生活成为广大群众的自觉行动。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E1C92"/>
    <w:rsid w:val="01B521C9"/>
    <w:rsid w:val="324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440" w:after="330" w:line="578" w:lineRule="auto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2021-11-12T02:40:00Z</dcterms:created>
  <dc:creator>wyn</dc:creator>
  <cp:lastModifiedBy>米露露</cp:lastModifiedBy>
  <dcterms:modified xsi:type="dcterms:W3CDTF">2022-03-10T13:12:24Z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74F64C149B974184836E097CEA75147B</vt:lpwstr>
  </property>
</Properties>
</file>