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numPr>
          <w:ilvl w:val="0"/>
          <w:numId w:val="1"/>
        </w:numPr>
        <w:rPr>
          <w:rFonts w:ascii="Times New Roman" w:hAnsi="Times New Roman"/>
        </w:rPr>
      </w:pPr>
      <w:bookmarkStart w:id="0" w:name="_Toc87546042"/>
      <w:r>
        <w:rPr>
          <w:rFonts w:hint="eastAsia" w:ascii="Times New Roman" w:hAnsi="Times New Roman"/>
        </w:rPr>
        <w:t>生态环境保护面临新形势</w:t>
      </w:r>
      <w:bookmarkEnd w:id="0"/>
    </w:p>
    <w:p>
      <w:pPr>
        <w:ind w:firstLine="640"/>
        <w:rPr>
          <w:rFonts w:hint="eastAsia"/>
        </w:rPr>
      </w:pPr>
    </w:p>
    <w:p>
      <w:pPr>
        <w:pStyle w:val="3"/>
        <w:ind w:firstLine="640"/>
      </w:pPr>
      <w:bookmarkStart w:id="1" w:name="_Toc427522954"/>
      <w:bookmarkStart w:id="2" w:name="_Toc427228752"/>
      <w:bookmarkStart w:id="3" w:name="_Toc427228880"/>
      <w:bookmarkStart w:id="4" w:name="_Toc427522037"/>
      <w:bookmarkStart w:id="5" w:name="_Toc427229059"/>
      <w:bookmarkStart w:id="6" w:name="_Toc85459360"/>
      <w:bookmarkStart w:id="7" w:name="_Toc77843916"/>
      <w:bookmarkStart w:id="8" w:name="_Toc87546043"/>
      <w:r>
        <w:t>一、</w:t>
      </w:r>
      <w:r>
        <w:rPr>
          <w:rFonts w:ascii="黑体" w:hAnsi="黑体"/>
        </w:rPr>
        <w:t>“十三五”</w:t>
      </w:r>
      <w:r>
        <w:rPr>
          <w:rFonts w:hint="eastAsia"/>
        </w:rPr>
        <w:t>时期</w:t>
      </w:r>
      <w:r>
        <w:t>生态环境保护</w:t>
      </w:r>
      <w:bookmarkEnd w:id="1"/>
      <w:bookmarkEnd w:id="2"/>
      <w:bookmarkEnd w:id="3"/>
      <w:bookmarkEnd w:id="4"/>
      <w:bookmarkEnd w:id="5"/>
      <w:r>
        <w:rPr>
          <w:rFonts w:hint="eastAsia"/>
        </w:rPr>
        <w:t>取得</w:t>
      </w:r>
      <w:r>
        <w:t>显著成效</w:t>
      </w:r>
      <w:bookmarkEnd w:id="6"/>
      <w:bookmarkEnd w:id="7"/>
      <w:bookmarkEnd w:id="8"/>
    </w:p>
    <w:p>
      <w:pPr>
        <w:pStyle w:val="4"/>
        <w:ind w:firstLine="640"/>
      </w:pPr>
      <w:bookmarkStart w:id="9" w:name="_Toc87519646"/>
      <w:bookmarkStart w:id="10" w:name="_Toc85642593"/>
      <w:bookmarkStart w:id="11" w:name="_Toc87268280"/>
      <w:bookmarkStart w:id="12" w:name="_Toc87546044"/>
      <w:r>
        <w:rPr>
          <w:rFonts w:hint="eastAsia"/>
        </w:rPr>
        <w:t>（一）生态文明建设全面推进</w:t>
      </w:r>
      <w:bookmarkEnd w:id="9"/>
      <w:bookmarkEnd w:id="10"/>
      <w:bookmarkEnd w:id="11"/>
      <w:bookmarkEnd w:id="12"/>
    </w:p>
    <w:p>
      <w:pPr>
        <w:tabs>
          <w:tab w:val="left" w:pos="720"/>
        </w:tabs>
        <w:ind w:firstLine="643"/>
        <w:rPr>
          <w:rFonts w:hint="eastAsia"/>
        </w:rPr>
      </w:pPr>
      <w:bookmarkStart w:id="13" w:name="_Toc77843917"/>
      <w:bookmarkStart w:id="14" w:name="_Toc85459963"/>
      <w:bookmarkStart w:id="15" w:name="_Toc85459361"/>
      <w:bookmarkStart w:id="16" w:name="_Toc85642594"/>
      <w:bookmarkStart w:id="17" w:name="_Toc79160329"/>
      <w:r>
        <w:rPr>
          <w:rFonts w:hint="eastAsia" w:ascii="仿宋_GB2312"/>
          <w:b/>
          <w:bCs/>
          <w:szCs w:val="32"/>
        </w:rPr>
        <w:t>党对生态环境保护的领导全面加强</w:t>
      </w:r>
      <w:r>
        <w:rPr>
          <w:rFonts w:hint="eastAsia" w:ascii="仿宋_GB2312"/>
          <w:b/>
          <w:szCs w:val="32"/>
        </w:rPr>
        <w:t>。</w:t>
      </w:r>
      <w:r>
        <w:rPr>
          <w:rFonts w:hint="eastAsia" w:ascii="仿宋_GB2312"/>
          <w:szCs w:val="32"/>
        </w:rPr>
        <w:t>成立区委生态文明建设委员会，统筹推进全区生态文明建设工作。制定《北京市大兴区生态环境保护工作职责分工规定》，明确各级党委、政府、有关部门的生态环境保护职责。</w:t>
      </w:r>
      <w:r>
        <w:rPr>
          <w:rFonts w:hint="eastAsia" w:ascii="仿宋_GB2312"/>
          <w:b/>
          <w:bCs/>
          <w:szCs w:val="32"/>
        </w:rPr>
        <w:t>生态文明体制改革不断推进。</w:t>
      </w:r>
      <w:r>
        <w:rPr>
          <w:rFonts w:hint="eastAsia" w:ascii="仿宋_GB2312"/>
          <w:szCs w:val="32"/>
        </w:rPr>
        <w:t>落实党政领导干部自然资源资产离任审计、生态环境损害赔偿等制度。生态环境保护督察力度不断强化，在全市率先成立区级环保督查办公室，建立“五督五促”工作机制。</w:t>
      </w:r>
      <w:r>
        <w:rPr>
          <w:rFonts w:hint="eastAsia" w:ascii="仿宋_GB2312"/>
          <w:b/>
          <w:bCs/>
          <w:szCs w:val="32"/>
        </w:rPr>
        <w:t>全民共治格局不断形成。</w:t>
      </w:r>
      <w:r>
        <w:rPr>
          <w:rFonts w:hint="eastAsia" w:ascii="仿宋_GB2312"/>
          <w:szCs w:val="32"/>
        </w:rPr>
        <w:t>成立全市首家绿色企业联盟，提高企业环保意识。推动社会多元化监督，实施有奖举报，畅通环保监督渠道。</w:t>
      </w:r>
      <w:r>
        <w:rPr>
          <w:rFonts w:hint="eastAsia"/>
        </w:rPr>
        <w:t>运用</w:t>
      </w:r>
      <w:r>
        <w:rPr>
          <w:rFonts w:hint="eastAsia" w:ascii="仿宋_GB2312"/>
          <w:szCs w:val="32"/>
        </w:rPr>
        <w:t>微博、微信、抖音及公众号开展环保宣传，使生态环保理念深入人心，积极推动全民参与、全社会共治。</w:t>
      </w:r>
    </w:p>
    <w:p>
      <w:pPr>
        <w:pStyle w:val="4"/>
        <w:ind w:firstLine="640"/>
      </w:pPr>
      <w:bookmarkStart w:id="18" w:name="_Toc87268281"/>
      <w:bookmarkStart w:id="19" w:name="_Toc87546045"/>
      <w:bookmarkStart w:id="20" w:name="_Toc87519647"/>
      <w:r>
        <w:t>（</w:t>
      </w:r>
      <w:r>
        <w:rPr>
          <w:rFonts w:hint="eastAsia"/>
        </w:rPr>
        <w:t>二</w:t>
      </w:r>
      <w:r>
        <w:t>）绿色发展水平大幅提高</w:t>
      </w:r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p>
      <w:pPr>
        <w:ind w:firstLine="643"/>
        <w:rPr>
          <w:rFonts w:hint="eastAsia" w:ascii="仿宋_GB2312"/>
          <w:bCs/>
          <w:szCs w:val="32"/>
        </w:rPr>
      </w:pPr>
      <w:r>
        <w:rPr>
          <w:rFonts w:hint="eastAsia" w:ascii="仿宋_GB2312"/>
          <w:b/>
          <w:szCs w:val="32"/>
        </w:rPr>
        <w:t>产业结构不断优化。</w:t>
      </w:r>
      <w:r>
        <w:rPr>
          <w:rFonts w:hint="eastAsia" w:ascii="仿宋_GB2312"/>
          <w:bCs/>
          <w:szCs w:val="32"/>
        </w:rPr>
        <w:t>截至2020年，</w:t>
      </w:r>
      <w:r>
        <w:rPr>
          <w:rFonts w:hint="eastAsia" w:ascii="仿宋_GB2312" w:hAnsi="仿宋_GB2312" w:cs="仿宋_GB2312"/>
          <w:szCs w:val="32"/>
        </w:rPr>
        <w:t>累计疏解退出一般制造业企业</w:t>
      </w:r>
      <w:r>
        <w:rPr>
          <w:rFonts w:ascii="仿宋_GB2312"/>
          <w:bCs/>
          <w:szCs w:val="32"/>
        </w:rPr>
        <w:t>151</w:t>
      </w:r>
      <w:r>
        <w:rPr>
          <w:rFonts w:hint="eastAsia" w:ascii="仿宋_GB2312" w:hAnsi="仿宋_GB2312" w:cs="仿宋_GB2312"/>
          <w:szCs w:val="32"/>
        </w:rPr>
        <w:t>家、清理“散乱污”企业</w:t>
      </w:r>
      <w:r>
        <w:rPr>
          <w:rFonts w:ascii="仿宋_GB2312"/>
          <w:bCs/>
          <w:szCs w:val="32"/>
        </w:rPr>
        <w:t>1514</w:t>
      </w:r>
      <w:r>
        <w:rPr>
          <w:rFonts w:hint="eastAsia" w:ascii="仿宋_GB2312" w:hAnsi="仿宋_GB2312" w:cs="仿宋_GB2312"/>
          <w:szCs w:val="32"/>
        </w:rPr>
        <w:t>家，</w:t>
      </w:r>
      <w:r>
        <w:rPr>
          <w:rFonts w:ascii="仿宋_GB2312"/>
          <w:bCs/>
          <w:szCs w:val="32"/>
        </w:rPr>
        <w:t>154</w:t>
      </w:r>
      <w:r>
        <w:rPr>
          <w:rFonts w:hint="eastAsia" w:ascii="仿宋_GB2312" w:hAnsi="仿宋_GB2312" w:cs="仿宋_GB2312"/>
          <w:szCs w:val="32"/>
        </w:rPr>
        <w:t>个工业大院基本清零</w:t>
      </w:r>
      <w:r>
        <w:rPr>
          <w:rFonts w:hint="eastAsia" w:ascii="仿宋_GB2312"/>
          <w:bCs/>
          <w:szCs w:val="32"/>
        </w:rPr>
        <w:t>。</w:t>
      </w:r>
      <w:r>
        <w:rPr>
          <w:rFonts w:hint="eastAsia" w:ascii="仿宋_GB2312"/>
          <w:b/>
          <w:bCs/>
          <w:szCs w:val="32"/>
        </w:rPr>
        <w:t>构建高精尖产业结构。</w:t>
      </w:r>
      <w:r>
        <w:rPr>
          <w:rFonts w:hint="eastAsia" w:ascii="仿宋_GB2312"/>
          <w:bCs/>
          <w:szCs w:val="32"/>
        </w:rPr>
        <w:t>围绕“三城一区”功能定位，加大科技创新，大力发展高新技术企业，研发中心，发展新媒体产业基地、生物医药产业基地等重点园区，并带动榆垡镇、青云镇等传统产业园区转型升级。</w:t>
      </w:r>
      <w:r>
        <w:rPr>
          <w:rFonts w:hint="eastAsia" w:ascii="仿宋_GB2312"/>
          <w:b/>
          <w:szCs w:val="32"/>
        </w:rPr>
        <w:t>能源结构进一步调整</w:t>
      </w:r>
      <w:r>
        <w:rPr>
          <w:rFonts w:hint="eastAsia" w:ascii="仿宋_GB2312"/>
          <w:b/>
          <w:bCs/>
          <w:szCs w:val="32"/>
        </w:rPr>
        <w:t>。</w:t>
      </w:r>
      <w:r>
        <w:rPr>
          <w:rFonts w:hint="eastAsia" w:ascii="仿宋_GB2312"/>
          <w:bCs/>
          <w:szCs w:val="32"/>
        </w:rPr>
        <w:t>提高新能源和可再生资源利用比例。实现无煤化，清洁优质能源实现100%，万元GDP能耗达到市级要求。</w:t>
      </w:r>
      <w:r>
        <w:rPr>
          <w:rFonts w:hint="eastAsia" w:ascii="仿宋_GB2312"/>
          <w:b/>
          <w:szCs w:val="32"/>
        </w:rPr>
        <w:t>资源得到有效集约利用。</w:t>
      </w:r>
      <w:r>
        <w:rPr>
          <w:rFonts w:hint="eastAsia" w:ascii="仿宋_GB2312"/>
          <w:bCs/>
          <w:szCs w:val="32"/>
        </w:rPr>
        <w:t>创建节水型区，2020年万元GDP耗水量25.057立方米，比2015年下降48%。推动安定镇循环经济产业园和生活垃圾分类示范片区建设。推进温室气体减排，区内重点碳排放单位完成履约。</w:t>
      </w:r>
    </w:p>
    <w:p>
      <w:pPr>
        <w:pStyle w:val="4"/>
        <w:ind w:firstLine="640"/>
      </w:pPr>
      <w:bookmarkStart w:id="21" w:name="_Toc85642595"/>
      <w:bookmarkStart w:id="22" w:name="_Toc87519648"/>
      <w:bookmarkStart w:id="23" w:name="_Toc85459362"/>
      <w:bookmarkStart w:id="24" w:name="_Toc87268282"/>
      <w:bookmarkStart w:id="25" w:name="_Toc79160330"/>
      <w:bookmarkStart w:id="26" w:name="_Toc77843918"/>
      <w:bookmarkStart w:id="27" w:name="_Toc87546046"/>
      <w:bookmarkStart w:id="28" w:name="_Toc85459964"/>
      <w:r>
        <w:t>（</w:t>
      </w:r>
      <w:r>
        <w:rPr>
          <w:rFonts w:hint="eastAsia"/>
        </w:rPr>
        <w:t>三</w:t>
      </w:r>
      <w:r>
        <w:t>）生态环境质量</w:t>
      </w:r>
      <w:r>
        <w:rPr>
          <w:rFonts w:hint="eastAsia"/>
        </w:rPr>
        <w:t>显著</w:t>
      </w:r>
      <w:r>
        <w:t>改善</w:t>
      </w:r>
      <w:bookmarkEnd w:id="21"/>
      <w:bookmarkEnd w:id="22"/>
      <w:bookmarkEnd w:id="23"/>
      <w:bookmarkEnd w:id="24"/>
      <w:bookmarkEnd w:id="25"/>
      <w:bookmarkEnd w:id="26"/>
      <w:bookmarkEnd w:id="27"/>
      <w:bookmarkEnd w:id="28"/>
    </w:p>
    <w:p>
      <w:pPr>
        <w:tabs>
          <w:tab w:val="left" w:pos="720"/>
        </w:tabs>
        <w:ind w:firstLine="643"/>
        <w:rPr>
          <w:rFonts w:ascii="仿宋_GB2312"/>
          <w:szCs w:val="32"/>
        </w:rPr>
      </w:pPr>
      <w:r>
        <w:rPr>
          <w:rFonts w:hint="eastAsia" w:ascii="仿宋_GB2312"/>
          <w:b/>
          <w:szCs w:val="32"/>
        </w:rPr>
        <w:t>空气质量创历史最优。</w:t>
      </w:r>
      <w:r>
        <w:rPr>
          <w:rFonts w:hint="eastAsia" w:ascii="仿宋_GB2312"/>
          <w:bCs/>
          <w:szCs w:val="32"/>
        </w:rPr>
        <w:t>全面打赢蓝天保卫战，持续深化</w:t>
      </w:r>
      <w:r>
        <w:rPr>
          <w:rFonts w:hint="eastAsia" w:ascii="仿宋_GB2312"/>
          <w:szCs w:val="32"/>
        </w:rPr>
        <w:t>“一微克”行动，统筹推进移动源、扬尘、挥发性有机物（</w:t>
      </w:r>
      <w:bookmarkStart w:id="29" w:name="_Hlk85553209"/>
      <w:r>
        <w:rPr>
          <w:rFonts w:hint="eastAsia" w:ascii="仿宋_GB2312"/>
          <w:szCs w:val="32"/>
        </w:rPr>
        <w:t>VOCs</w:t>
      </w:r>
      <w:bookmarkEnd w:id="29"/>
      <w:r>
        <w:rPr>
          <w:rFonts w:hint="eastAsia" w:ascii="仿宋_GB2312"/>
          <w:szCs w:val="32"/>
        </w:rPr>
        <w:t>）污染治理。累计淘汰更新老旧机动车6.3万余辆，区属公交、出租车全部实现新能源化，机动车结构得到持续优化提升。严格落实非道路移动机械低排放区政策，完成8400余台非道路移动机械编码登记。精细治理扬尘污染，创新建立“以绿固尘”“以图查尘”“以路督尘”“以技控尘”的“四治联动”工作法，对裸地图斑、重点道路实施专项治理，形成点、线、面多源共治的治理体系，全区降尘量逐年下降，2020年达到5.1吨/平方公里·月。深度治理</w:t>
      </w:r>
      <w:r>
        <w:rPr>
          <w:rFonts w:ascii="仿宋_GB2312"/>
          <w:szCs w:val="32"/>
        </w:rPr>
        <w:t>VOCs</w:t>
      </w:r>
      <w:r>
        <w:rPr>
          <w:rFonts w:hint="eastAsia" w:ascii="仿宋_GB2312"/>
          <w:szCs w:val="32"/>
        </w:rPr>
        <w:t>污染，推动 “一厂一策”深度治理，对辖区50家VOCs排放企业安装在线监控设施，实现全时段监管，在全市率先实施VOCs走航监测，对重点工业园区开展定期监测。完成960家餐饮废气净化设备升级改造，辖区餐饮企业排放水平得到提升。</w:t>
      </w:r>
    </w:p>
    <w:p>
      <w:pPr>
        <w:tabs>
          <w:tab w:val="left" w:pos="720"/>
        </w:tabs>
        <w:ind w:firstLine="640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2020年，PM</w:t>
      </w:r>
      <w:r>
        <w:rPr>
          <w:rFonts w:hint="eastAsia" w:ascii="仿宋_GB2312"/>
          <w:szCs w:val="32"/>
          <w:vertAlign w:val="subscript"/>
        </w:rPr>
        <w:t>2.5</w:t>
      </w:r>
      <w:r>
        <w:rPr>
          <w:rFonts w:hint="eastAsia" w:ascii="仿宋_GB2312"/>
          <w:szCs w:val="32"/>
        </w:rPr>
        <w:t>年均浓度37微克/立方米，由全市最高变为低于全市平均值，“十三五”时期PM</w:t>
      </w:r>
      <w:r>
        <w:rPr>
          <w:rFonts w:hint="eastAsia" w:ascii="仿宋_GB2312"/>
          <w:szCs w:val="32"/>
          <w:vertAlign w:val="subscript"/>
        </w:rPr>
        <w:t>2.5</w:t>
      </w:r>
      <w:r>
        <w:rPr>
          <w:rFonts w:hint="eastAsia" w:ascii="仿宋_GB2312"/>
          <w:szCs w:val="32"/>
        </w:rPr>
        <w:t>降幅达6</w:t>
      </w:r>
      <w:r>
        <w:rPr>
          <w:rFonts w:ascii="仿宋_GB2312"/>
          <w:szCs w:val="32"/>
        </w:rPr>
        <w:t>1.5</w:t>
      </w:r>
      <w:r>
        <w:rPr>
          <w:rFonts w:hint="eastAsia" w:ascii="仿宋_GB2312"/>
          <w:szCs w:val="32"/>
        </w:rPr>
        <w:t>%，为全市第一；可吸入颗粒物（PM</w:t>
      </w:r>
      <w:r>
        <w:rPr>
          <w:rFonts w:hint="eastAsia" w:ascii="仿宋_GB2312"/>
          <w:szCs w:val="32"/>
          <w:vertAlign w:val="subscript"/>
        </w:rPr>
        <w:t>10</w:t>
      </w:r>
      <w:r>
        <w:rPr>
          <w:rFonts w:hint="eastAsia" w:ascii="仿宋_GB2312"/>
          <w:szCs w:val="32"/>
        </w:rPr>
        <w:t>）、二氧化氮（NO</w:t>
      </w:r>
      <w:r>
        <w:rPr>
          <w:rFonts w:hint="eastAsia" w:ascii="仿宋_GB2312"/>
          <w:szCs w:val="32"/>
          <w:vertAlign w:val="subscript"/>
        </w:rPr>
        <w:t>2</w:t>
      </w:r>
      <w:r>
        <w:rPr>
          <w:rFonts w:hint="eastAsia" w:ascii="仿宋_GB2312"/>
          <w:szCs w:val="32"/>
        </w:rPr>
        <w:t>）、二氧化硫（SO</w:t>
      </w:r>
      <w:r>
        <w:rPr>
          <w:rFonts w:hint="eastAsia" w:ascii="仿宋_GB2312"/>
          <w:szCs w:val="32"/>
          <w:vertAlign w:val="subscript"/>
        </w:rPr>
        <w:t>2</w:t>
      </w:r>
      <w:r>
        <w:rPr>
          <w:rFonts w:hint="eastAsia" w:ascii="仿宋_GB2312"/>
          <w:szCs w:val="32"/>
        </w:rPr>
        <w:t>）均达到国家二级标准。空气质量呈“优增劣减”特征，优良天数264天，较2015年增加104天；重污染天数11天，较2015年减少54天，降幅达到8</w:t>
      </w:r>
      <w:r>
        <w:rPr>
          <w:rFonts w:ascii="仿宋_GB2312"/>
          <w:szCs w:val="32"/>
        </w:rPr>
        <w:t>3.1</w:t>
      </w:r>
      <w:r>
        <w:rPr>
          <w:rFonts w:hint="eastAsia" w:ascii="仿宋_GB2312"/>
          <w:szCs w:val="32"/>
        </w:rPr>
        <w:t>%。</w:t>
      </w:r>
    </w:p>
    <w:p>
      <w:pPr>
        <w:tabs>
          <w:tab w:val="left" w:pos="720"/>
        </w:tabs>
        <w:ind w:firstLine="643"/>
        <w:rPr>
          <w:rFonts w:ascii="仿宋_GB2312"/>
          <w:szCs w:val="32"/>
        </w:rPr>
      </w:pPr>
      <w:r>
        <w:rPr>
          <w:rFonts w:hint="eastAsia" w:ascii="仿宋_GB2312"/>
          <w:b/>
          <w:szCs w:val="32"/>
        </w:rPr>
        <w:t>水环境质量大幅提升。</w:t>
      </w:r>
      <w:r>
        <w:rPr>
          <w:rFonts w:hint="eastAsia" w:ascii="仿宋_GB2312"/>
          <w:bCs/>
          <w:szCs w:val="32"/>
        </w:rPr>
        <w:t>全面推进碧水保卫战，采取工程措施和管理措施，加强饮用水保护，防治地表水污染。</w:t>
      </w:r>
      <w:r>
        <w:rPr>
          <w:rFonts w:hint="eastAsia" w:ascii="仿宋_GB2312"/>
          <w:szCs w:val="32"/>
        </w:rPr>
        <w:t>加强饮用水和地下水保护，对辖区35个集中式饮用水水源保护区开展专项执法行动。全面完成31家加油站防渗漏改造。加强污水处理设施建设，新建再生水、污水收集管线，改造雨污合流管线，魏善庄镇、瀛海再生水厂升级改造。加强工业污染防治，基本实现《固定污染源排污许可分类管理名录》规定的行业企业排污许可全覆盖，实施排污许可证证后执法，建立工业园区水环境管理“一园一档”。加强农村污水治理，开展生态治污，实施安定镇农村污水处理（生态治污试点）项目建设。295个村实现污水处理设施覆盖，覆盖率达83%。进行水环境区域补偿，每周对55个断面进行水质化学需氧量、氨氮、总磷等3个项目的监测。强化入河排污口综合整治，实现“动态清零”。建立覆盖到村（社区）的水环境质量监测评价考核体系。</w:t>
      </w:r>
    </w:p>
    <w:p>
      <w:pPr>
        <w:tabs>
          <w:tab w:val="left" w:pos="720"/>
        </w:tabs>
        <w:ind w:firstLine="640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截至2</w:t>
      </w:r>
      <w:r>
        <w:rPr>
          <w:rFonts w:ascii="仿宋_GB2312"/>
          <w:szCs w:val="32"/>
        </w:rPr>
        <w:t>020</w:t>
      </w:r>
      <w:r>
        <w:rPr>
          <w:rFonts w:hint="eastAsia" w:ascii="仿宋_GB2312"/>
          <w:szCs w:val="32"/>
        </w:rPr>
        <w:t>年，区级集中式饮用水水质稳定达标。区级集中式饮用水水源大兴区一、二水厂水源地，水质和水量均稳定达标。地下水水源各项监测指标均符合GB/T14848-2017 中的Ⅲ级标准。地表水水质大幅改善，主要污染物浓度明显下降，五个国家级和市级断面水质全部达标，全区污水处理率达到92%，全面消除黑臭水体。</w:t>
      </w:r>
    </w:p>
    <w:p>
      <w:pPr>
        <w:tabs>
          <w:tab w:val="left" w:pos="720"/>
        </w:tabs>
        <w:ind w:firstLine="643"/>
        <w:rPr>
          <w:rFonts w:hint="eastAsia" w:ascii="仿宋_GB2312"/>
          <w:szCs w:val="32"/>
        </w:rPr>
      </w:pPr>
      <w:r>
        <w:rPr>
          <w:rFonts w:hint="eastAsia" w:ascii="仿宋_GB2312"/>
          <w:b/>
          <w:szCs w:val="32"/>
        </w:rPr>
        <w:t>土壤污染风险得到有效管控。</w:t>
      </w:r>
      <w:r>
        <w:rPr>
          <w:rFonts w:hint="eastAsia" w:ascii="仿宋_GB2312"/>
          <w:bCs/>
          <w:szCs w:val="32"/>
        </w:rPr>
        <w:t>净土保卫战扎实开展，在全市率先出台《北京市大兴区土壤环境管理工作指南（暂行）》，完成</w:t>
      </w:r>
      <w:r>
        <w:rPr>
          <w:rFonts w:ascii="仿宋_GB2312"/>
          <w:bCs/>
          <w:szCs w:val="32"/>
        </w:rPr>
        <w:t>379</w:t>
      </w:r>
      <w:r>
        <w:rPr>
          <w:rFonts w:hint="eastAsia" w:ascii="仿宋_GB2312"/>
          <w:bCs/>
          <w:szCs w:val="32"/>
        </w:rPr>
        <w:t>处农用地和84家重点行业企业用地的土壤详查工</w:t>
      </w:r>
      <w:r>
        <w:rPr>
          <w:rFonts w:hint="eastAsia" w:ascii="仿宋_GB2312"/>
          <w:szCs w:val="32"/>
        </w:rPr>
        <w:t>作。加强在产企业用地监管，确定重点监管企业17家。组织开展1054家关停企业用地动态筛查，实施建设用地土壤污染风险管控和修复名录制度，完成区内首个污染地块修复工程，建立土壤污染状况调查评审机制，确保建设用地安全利用。加强农用地分类管理，完成耕地土壤环境质量类别划分工作，建立优先保护类和安全利用类耕地分类清单。受污染耕地安全利用率和污染地块安全利用率达到90%以上。</w:t>
      </w:r>
    </w:p>
    <w:p>
      <w:pPr>
        <w:ind w:firstLine="643"/>
        <w:rPr>
          <w:rFonts w:hint="eastAsia" w:ascii="仿宋_GB2312"/>
          <w:sz w:val="30"/>
          <w:szCs w:val="30"/>
        </w:rPr>
      </w:pPr>
      <w:r>
        <w:rPr>
          <w:rFonts w:hint="eastAsia" w:ascii="仿宋_GB2312"/>
          <w:b/>
          <w:szCs w:val="32"/>
        </w:rPr>
        <w:t>生态质量稳步提升。</w:t>
      </w:r>
      <w:r>
        <w:rPr>
          <w:rFonts w:hint="eastAsia" w:ascii="仿宋_GB2312"/>
          <w:szCs w:val="32"/>
        </w:rPr>
        <w:t>实施百万亩造林工程和城市绿化工程、开展国家森林城市创建，绿化水平大幅提高，在永定河、新机场周边、城乡结合部、重要交通廊道、京冀交界等重点地区完成平原造林绿化7057公顷，区域绿色空间持续拓展；强化平原生态林抚育管理，年均抚育面积1万公顷，森林林分结构和质量得到进一步改善，生态功能显著增强，打造出“青松迎客、四季永驻”“大绿大美南中轴”的绿色国门景观，使“森林环抱的机场”的美好愿景成为现实。2020年，森林覆盖率达到32.88%，城市绿地率达到48.78%，人均公园绿地面积达到14.62平方米/人，公园绿地500米服务半径覆盖率92.27%。2020年生态环境状况指数（EI）为59.4，评价等级为“良”。</w:t>
      </w:r>
      <w:r>
        <w:rPr>
          <w:rFonts w:hint="eastAsia" w:ascii="仿宋_GB2312"/>
          <w:sz w:val="30"/>
          <w:szCs w:val="30"/>
        </w:rPr>
        <w:t xml:space="preserve"> </w:t>
      </w:r>
    </w:p>
    <w:p>
      <w:pPr>
        <w:pStyle w:val="4"/>
        <w:ind w:firstLine="640"/>
      </w:pPr>
      <w:bookmarkStart w:id="30" w:name="_Toc85459965"/>
      <w:bookmarkStart w:id="31" w:name="_Toc85642596"/>
      <w:bookmarkStart w:id="32" w:name="_Toc85459363"/>
      <w:bookmarkStart w:id="33" w:name="_Toc87268283"/>
      <w:bookmarkStart w:id="34" w:name="_Toc77843919"/>
      <w:bookmarkStart w:id="35" w:name="_Toc79160331"/>
      <w:bookmarkStart w:id="36" w:name="_Toc87519649"/>
      <w:bookmarkStart w:id="37" w:name="_Toc87546047"/>
      <w:r>
        <w:t>（</w:t>
      </w:r>
      <w:r>
        <w:rPr>
          <w:rFonts w:hint="eastAsia"/>
        </w:rPr>
        <w:t>四</w:t>
      </w:r>
      <w:r>
        <w:t>）生态环境安全有效保障</w:t>
      </w:r>
      <w:bookmarkEnd w:id="30"/>
      <w:bookmarkEnd w:id="31"/>
      <w:bookmarkEnd w:id="32"/>
      <w:bookmarkEnd w:id="33"/>
      <w:bookmarkEnd w:id="34"/>
      <w:bookmarkEnd w:id="35"/>
      <w:bookmarkEnd w:id="36"/>
      <w:bookmarkEnd w:id="37"/>
    </w:p>
    <w:p>
      <w:pPr>
        <w:tabs>
          <w:tab w:val="left" w:pos="720"/>
        </w:tabs>
        <w:ind w:firstLine="600"/>
        <w:rPr>
          <w:rFonts w:hint="eastAsia" w:ascii="仿宋_GB2312"/>
          <w:szCs w:val="32"/>
        </w:rPr>
      </w:pPr>
      <w:r>
        <w:rPr>
          <w:sz w:val="30"/>
          <w:szCs w:val="30"/>
        </w:rPr>
        <w:t xml:space="preserve"> </w:t>
      </w:r>
      <w:r>
        <w:rPr>
          <w:rFonts w:hint="eastAsia" w:ascii="仿宋_GB2312"/>
          <w:b/>
          <w:szCs w:val="32"/>
        </w:rPr>
        <w:t>积极推行生活垃圾分类</w:t>
      </w:r>
      <w:r>
        <w:rPr>
          <w:rFonts w:hint="eastAsia" w:ascii="仿宋_GB2312"/>
          <w:szCs w:val="32"/>
        </w:rPr>
        <w:t>，率先在全市开展“定时定点”投放、“互联网+”智慧分类、餐厨垃圾“一级收运”、垃圾分类进校园等工作，全区生活垃圾分类示范片区覆盖率达到90%以上。加快垃圾再生资源回收利用，生活垃圾无害化处理率达到100%。</w:t>
      </w:r>
      <w:r>
        <w:rPr>
          <w:rFonts w:hint="eastAsia" w:ascii="仿宋_GB2312"/>
          <w:b/>
          <w:szCs w:val="32"/>
        </w:rPr>
        <w:t>严格固体危险废物监管</w:t>
      </w:r>
      <w:r>
        <w:rPr>
          <w:rFonts w:hint="eastAsia" w:ascii="仿宋_GB2312"/>
          <w:szCs w:val="32"/>
        </w:rPr>
        <w:t>，进行重点行业专项执法检查，逐步规范危险废物贮存、转移和处置。用于医疗的放射诊断、工业探伤等射线装置实体维护安全率为100%。完成市级台帐内全部6个非正规垃圾堆放点整治并验收。</w:t>
      </w:r>
    </w:p>
    <w:p>
      <w:pPr>
        <w:pStyle w:val="4"/>
        <w:ind w:firstLine="640"/>
        <w:rPr>
          <w:rFonts w:hint="eastAsia"/>
        </w:rPr>
      </w:pPr>
      <w:bookmarkStart w:id="38" w:name="_Toc77843921"/>
      <w:bookmarkStart w:id="39" w:name="_Toc85459365"/>
      <w:bookmarkStart w:id="40" w:name="_Toc79160333"/>
      <w:bookmarkStart w:id="41" w:name="_Toc85459967"/>
      <w:bookmarkStart w:id="42" w:name="_Toc87519650"/>
      <w:bookmarkStart w:id="43" w:name="_Toc87546048"/>
      <w:bookmarkStart w:id="44" w:name="_Toc85642597"/>
      <w:bookmarkStart w:id="45" w:name="_Toc87268284"/>
      <w:r>
        <w:t>（五）</w:t>
      </w:r>
      <w:bookmarkEnd w:id="38"/>
      <w:bookmarkEnd w:id="39"/>
      <w:bookmarkEnd w:id="40"/>
      <w:bookmarkEnd w:id="41"/>
      <w:r>
        <w:rPr>
          <w:rFonts w:hint="eastAsia"/>
        </w:rPr>
        <w:t>环境治理能力大幅提升</w:t>
      </w:r>
      <w:bookmarkEnd w:id="42"/>
      <w:bookmarkEnd w:id="43"/>
      <w:bookmarkEnd w:id="44"/>
      <w:bookmarkEnd w:id="45"/>
    </w:p>
    <w:p>
      <w:pPr>
        <w:tabs>
          <w:tab w:val="left" w:pos="720"/>
        </w:tabs>
        <w:ind w:firstLine="643"/>
        <w:rPr>
          <w:rFonts w:ascii="仿宋_GB2312"/>
          <w:szCs w:val="32"/>
        </w:rPr>
      </w:pPr>
      <w:bookmarkStart w:id="46" w:name="_Toc427228751"/>
      <w:bookmarkStart w:id="47" w:name="_Toc427228879"/>
      <w:bookmarkStart w:id="48" w:name="_Toc427229058"/>
      <w:r>
        <w:rPr>
          <w:rFonts w:hint="eastAsia" w:ascii="仿宋_GB2312"/>
          <w:b/>
          <w:szCs w:val="32"/>
        </w:rPr>
        <w:t>在环境监测方面</w:t>
      </w:r>
      <w:r>
        <w:rPr>
          <w:rFonts w:hint="eastAsia" w:ascii="仿宋_GB2312"/>
          <w:szCs w:val="32"/>
        </w:rPr>
        <w:t>，建立卫星遥感、激光雷达、VOCs走航、车载物联为主要内容的空、天、地三网监测系统，不断完善监管方式和手段，为科技治污实现数据支撑。</w:t>
      </w:r>
      <w:r>
        <w:rPr>
          <w:rFonts w:hint="eastAsia" w:ascii="仿宋_GB2312"/>
          <w:b/>
          <w:szCs w:val="32"/>
        </w:rPr>
        <w:t>在环境管理方面</w:t>
      </w:r>
      <w:r>
        <w:rPr>
          <w:rFonts w:hint="eastAsia" w:ascii="仿宋_GB2312"/>
          <w:szCs w:val="32"/>
        </w:rPr>
        <w:t>，通过监测网络和数据分析，建立事前预警、事中研判、事后评估的全过程监管体系，实现污染物的量化分级和精准溯源。</w:t>
      </w:r>
      <w:r>
        <w:rPr>
          <w:rFonts w:hint="eastAsia" w:ascii="仿宋_GB2312"/>
          <w:b/>
          <w:szCs w:val="32"/>
        </w:rPr>
        <w:t>在环境治理方面</w:t>
      </w:r>
      <w:r>
        <w:rPr>
          <w:rFonts w:hint="eastAsia" w:ascii="仿宋_GB2312"/>
          <w:szCs w:val="32"/>
        </w:rPr>
        <w:t>，开展PM</w:t>
      </w:r>
      <w:r>
        <w:rPr>
          <w:rFonts w:hint="eastAsia" w:ascii="仿宋_GB2312"/>
          <w:szCs w:val="32"/>
          <w:vertAlign w:val="subscript"/>
        </w:rPr>
        <w:t>2.5</w:t>
      </w:r>
      <w:r>
        <w:rPr>
          <w:rFonts w:hint="eastAsia" w:ascii="仿宋_GB2312"/>
          <w:szCs w:val="32"/>
        </w:rPr>
        <w:t>、臭氧源解析，入河排污口溯源工作，在全市率先开展PM</w:t>
      </w:r>
      <w:r>
        <w:rPr>
          <w:rFonts w:hint="eastAsia" w:ascii="仿宋_GB2312"/>
          <w:szCs w:val="32"/>
          <w:vertAlign w:val="subscript"/>
        </w:rPr>
        <w:t>2.5</w:t>
      </w:r>
      <w:r>
        <w:rPr>
          <w:rFonts w:hint="eastAsia" w:ascii="仿宋_GB2312"/>
          <w:szCs w:val="32"/>
        </w:rPr>
        <w:t>与臭氧协同减排控制对策研究，为下一阶段工作及精准治污提供科学决策。</w:t>
      </w:r>
    </w:p>
    <w:p>
      <w:pPr>
        <w:pStyle w:val="2"/>
        <w:ind w:firstLine="640"/>
        <w:rPr>
          <w:rFonts w:hint="eastAsia"/>
        </w:rPr>
      </w:pPr>
    </w:p>
    <w:p>
      <w:pPr>
        <w:pStyle w:val="5"/>
        <w:ind w:firstLine="643"/>
        <w:jc w:val="center"/>
        <w:rPr>
          <w:rFonts w:hint="eastAsia" w:ascii="仿宋_GB2312" w:hAnsi="黑体" w:eastAsia="仿宋_GB2312" w:cs="仿宋_GB2312"/>
          <w:b/>
          <w:sz w:val="32"/>
          <w:szCs w:val="32"/>
        </w:rPr>
      </w:pPr>
      <w:r>
        <w:rPr>
          <w:rFonts w:hint="eastAsia" w:ascii="仿宋_GB2312" w:hAnsi="黑体" w:eastAsia="仿宋_GB2312" w:cs="仿宋_GB2312"/>
          <w:b/>
          <w:sz w:val="32"/>
          <w:szCs w:val="32"/>
        </w:rPr>
        <w:t>表1“十三五”规划主要目标完成情况</w:t>
      </w:r>
    </w:p>
    <w:tbl>
      <w:tblPr>
        <w:tblStyle w:val="8"/>
        <w:tblW w:w="0" w:type="auto"/>
        <w:tblInd w:w="-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2"/>
        <w:gridCol w:w="3261"/>
        <w:gridCol w:w="1840"/>
        <w:gridCol w:w="1702"/>
        <w:gridCol w:w="95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" w:hRule="atLeast"/>
          <w:tblHeader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/>
                <w:b/>
                <w:bCs/>
                <w:color w:val="000000"/>
                <w:kern w:val="24"/>
                <w:sz w:val="24"/>
              </w:rPr>
            </w:pPr>
            <w:r>
              <w:rPr>
                <w:rFonts w:hint="eastAsia" w:ascii="仿宋_GB2312"/>
                <w:b/>
                <w:bCs/>
                <w:color w:val="000000"/>
                <w:kern w:val="24"/>
                <w:sz w:val="24"/>
              </w:rPr>
              <w:t>序号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/>
                <w:b/>
                <w:bCs/>
                <w:color w:val="000000"/>
                <w:kern w:val="24"/>
                <w:sz w:val="24"/>
              </w:rPr>
              <w:t>指标名称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/>
                <w:b/>
                <w:bCs/>
                <w:color w:val="000000"/>
                <w:kern w:val="24"/>
                <w:sz w:val="24"/>
              </w:rPr>
              <w:t>规划值（2020）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/>
                <w:b/>
                <w:bCs/>
                <w:color w:val="000000"/>
                <w:kern w:val="24"/>
                <w:sz w:val="24"/>
              </w:rPr>
              <w:t>现状（2020）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/>
                <w:b/>
                <w:bCs/>
                <w:color w:val="000000"/>
                <w:kern w:val="24"/>
                <w:sz w:val="24"/>
              </w:rPr>
              <w:t>完成情况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/>
                <w:color w:val="000000"/>
                <w:kern w:val="24"/>
                <w:sz w:val="24"/>
              </w:rPr>
            </w:pPr>
            <w:r>
              <w:rPr>
                <w:rFonts w:hint="eastAsia" w:ascii="仿宋_GB2312"/>
                <w:color w:val="000000"/>
                <w:kern w:val="24"/>
                <w:sz w:val="24"/>
              </w:rPr>
              <w:t>1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24"/>
                <w:sz w:val="24"/>
              </w:rPr>
              <w:t>PM</w:t>
            </w:r>
            <w:r>
              <w:rPr>
                <w:rFonts w:hint="eastAsia" w:ascii="仿宋_GB2312"/>
                <w:color w:val="000000"/>
                <w:kern w:val="24"/>
                <w:sz w:val="24"/>
                <w:vertAlign w:val="subscript"/>
              </w:rPr>
              <w:t>2.5</w:t>
            </w:r>
            <w:r>
              <w:rPr>
                <w:rFonts w:hint="eastAsia" w:ascii="仿宋_GB2312"/>
                <w:color w:val="000000"/>
                <w:kern w:val="24"/>
                <w:sz w:val="24"/>
              </w:rPr>
              <w:t>年均浓度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24"/>
                <w:sz w:val="24"/>
              </w:rPr>
              <w:t>达到市政府要求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24"/>
                <w:sz w:val="24"/>
              </w:rPr>
              <w:t>37微克/立方米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24"/>
                <w:sz w:val="24"/>
              </w:rPr>
              <w:t>完成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/>
                <w:color w:val="000000"/>
                <w:kern w:val="24"/>
                <w:sz w:val="24"/>
              </w:rPr>
            </w:pPr>
            <w:r>
              <w:rPr>
                <w:rFonts w:hint="eastAsia" w:ascii="仿宋_GB2312"/>
                <w:color w:val="000000"/>
                <w:kern w:val="24"/>
                <w:sz w:val="24"/>
              </w:rPr>
              <w:t>2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24"/>
                <w:sz w:val="24"/>
              </w:rPr>
              <w:t>黑臭水体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24"/>
                <w:sz w:val="24"/>
              </w:rPr>
              <w:t>全面消除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24"/>
                <w:sz w:val="24"/>
              </w:rPr>
              <w:t>全面消除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24"/>
                <w:sz w:val="24"/>
              </w:rPr>
              <w:t>完成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00" w:lineRule="exact"/>
              <w:ind w:firstLine="0" w:firstLineChars="0"/>
              <w:jc w:val="center"/>
              <w:rPr>
                <w:rFonts w:hint="eastAsia" w:ascii="仿宋_GB2312"/>
                <w:kern w:val="0"/>
                <w:sz w:val="24"/>
              </w:rPr>
            </w:pPr>
            <w:r>
              <w:rPr>
                <w:rFonts w:hint="eastAsia" w:ascii="仿宋_GB2312"/>
                <w:kern w:val="0"/>
                <w:sz w:val="24"/>
              </w:rPr>
              <w:t>3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24"/>
                <w:sz w:val="24"/>
              </w:rPr>
              <w:t>劣V类水体断面下降比例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24"/>
                <w:sz w:val="24"/>
              </w:rPr>
              <w:t>60%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24"/>
                <w:sz w:val="24"/>
              </w:rPr>
              <w:t>1</w:t>
            </w:r>
            <w:r>
              <w:rPr>
                <w:rFonts w:ascii="仿宋_GB2312"/>
                <w:color w:val="000000"/>
                <w:kern w:val="24"/>
                <w:sz w:val="24"/>
              </w:rPr>
              <w:t>00</w:t>
            </w:r>
            <w:r>
              <w:rPr>
                <w:rFonts w:hint="eastAsia" w:ascii="仿宋_GB2312"/>
                <w:color w:val="000000"/>
                <w:kern w:val="24"/>
                <w:sz w:val="24"/>
              </w:rPr>
              <w:t>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ind w:firstLine="0" w:firstLineChars="0"/>
              <w:jc w:val="center"/>
              <w:rPr>
                <w:rFonts w:hint="eastAsia" w:ascii="仿宋_GB2312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24"/>
                <w:sz w:val="24"/>
              </w:rPr>
              <w:t>完成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/>
                <w:color w:val="000000"/>
                <w:kern w:val="24"/>
                <w:sz w:val="24"/>
              </w:rPr>
            </w:pPr>
            <w:r>
              <w:rPr>
                <w:rFonts w:hint="eastAsia" w:ascii="仿宋_GB2312"/>
                <w:color w:val="000000"/>
                <w:kern w:val="24"/>
                <w:sz w:val="24"/>
              </w:rPr>
              <w:t>4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24"/>
                <w:sz w:val="24"/>
              </w:rPr>
              <w:t>受污染耕地安全利用率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24"/>
                <w:sz w:val="24"/>
              </w:rPr>
              <w:t>90%左右</w:t>
            </w:r>
            <w:r>
              <w:rPr>
                <w:rFonts w:hint="eastAsia" w:ascii="仿宋_GB2312"/>
                <w:kern w:val="0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/>
                <w:kern w:val="0"/>
                <w:sz w:val="24"/>
              </w:rPr>
            </w:pPr>
            <w:r>
              <w:rPr>
                <w:rFonts w:ascii="仿宋_GB2312"/>
                <w:color w:val="000000"/>
                <w:kern w:val="24"/>
                <w:sz w:val="24"/>
              </w:rPr>
              <w:t>&gt;</w:t>
            </w:r>
            <w:r>
              <w:rPr>
                <w:rFonts w:hint="eastAsia" w:ascii="仿宋_GB2312"/>
                <w:color w:val="000000"/>
                <w:kern w:val="24"/>
                <w:sz w:val="24"/>
              </w:rPr>
              <w:t>90%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24"/>
                <w:sz w:val="24"/>
              </w:rPr>
              <w:t>完成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" w:hRule="atLeast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00" w:lineRule="exact"/>
              <w:ind w:firstLine="0" w:firstLineChars="0"/>
              <w:jc w:val="center"/>
              <w:rPr>
                <w:rFonts w:hint="eastAsia" w:ascii="仿宋_GB2312"/>
                <w:kern w:val="0"/>
                <w:sz w:val="24"/>
              </w:rPr>
            </w:pPr>
            <w:r>
              <w:rPr>
                <w:rFonts w:hint="eastAsia" w:ascii="仿宋_GB2312"/>
                <w:kern w:val="0"/>
                <w:sz w:val="24"/>
              </w:rPr>
              <w:t>5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24"/>
                <w:sz w:val="24"/>
              </w:rPr>
              <w:t>污染地块安全利用率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/>
                <w:kern w:val="0"/>
                <w:sz w:val="24"/>
              </w:rPr>
            </w:pPr>
            <w:r>
              <w:rPr>
                <w:rFonts w:ascii="仿宋_GB2312"/>
                <w:color w:val="000000"/>
                <w:kern w:val="24"/>
                <w:sz w:val="24"/>
              </w:rPr>
              <w:t>&gt;</w:t>
            </w:r>
            <w:r>
              <w:rPr>
                <w:rFonts w:hint="eastAsia" w:ascii="仿宋_GB2312"/>
                <w:color w:val="000000"/>
                <w:kern w:val="24"/>
                <w:sz w:val="24"/>
              </w:rPr>
              <w:t>90%</w:t>
            </w:r>
            <w:r>
              <w:rPr>
                <w:rFonts w:hint="eastAsia" w:ascii="仿宋_GB2312"/>
                <w:kern w:val="0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/>
                <w:kern w:val="0"/>
                <w:sz w:val="24"/>
              </w:rPr>
            </w:pPr>
            <w:r>
              <w:rPr>
                <w:rFonts w:ascii="仿宋_GB2312"/>
                <w:color w:val="000000"/>
                <w:kern w:val="24"/>
                <w:sz w:val="24"/>
              </w:rPr>
              <w:t>&gt;</w:t>
            </w:r>
            <w:r>
              <w:rPr>
                <w:rFonts w:hint="eastAsia" w:ascii="仿宋_GB2312"/>
                <w:color w:val="000000"/>
                <w:kern w:val="24"/>
                <w:sz w:val="24"/>
              </w:rPr>
              <w:t>90%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24"/>
                <w:sz w:val="24"/>
              </w:rPr>
              <w:t>完成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/>
                <w:color w:val="000000"/>
                <w:kern w:val="24"/>
                <w:sz w:val="24"/>
              </w:rPr>
            </w:pPr>
            <w:r>
              <w:rPr>
                <w:rFonts w:hint="eastAsia" w:ascii="仿宋_GB2312"/>
                <w:color w:val="000000"/>
                <w:kern w:val="24"/>
                <w:sz w:val="24"/>
              </w:rPr>
              <w:t>6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24"/>
                <w:sz w:val="24"/>
              </w:rPr>
              <w:t>工业固体废物综合利用处置率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24"/>
                <w:sz w:val="24"/>
              </w:rPr>
              <w:t>95%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24"/>
                <w:sz w:val="24"/>
              </w:rPr>
              <w:t>100%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24"/>
                <w:sz w:val="24"/>
              </w:rPr>
              <w:t>完成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00" w:lineRule="exact"/>
              <w:ind w:firstLine="0" w:firstLineChars="0"/>
              <w:jc w:val="center"/>
              <w:rPr>
                <w:rFonts w:hint="eastAsia" w:ascii="仿宋_GB2312"/>
                <w:kern w:val="0"/>
                <w:sz w:val="24"/>
              </w:rPr>
            </w:pPr>
            <w:r>
              <w:rPr>
                <w:rFonts w:hint="eastAsia" w:ascii="仿宋_GB2312"/>
                <w:kern w:val="0"/>
                <w:sz w:val="24"/>
              </w:rPr>
              <w:t>7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24"/>
                <w:sz w:val="24"/>
              </w:rPr>
              <w:t>全区生活垃圾无害化处理率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/>
                <w:kern w:val="0"/>
                <w:sz w:val="24"/>
              </w:rPr>
            </w:pPr>
            <w:r>
              <w:rPr>
                <w:rFonts w:ascii="仿宋_GB2312"/>
                <w:color w:val="000000"/>
                <w:kern w:val="24"/>
                <w:sz w:val="24"/>
              </w:rPr>
              <w:t>&gt;</w:t>
            </w:r>
            <w:r>
              <w:rPr>
                <w:rFonts w:hint="eastAsia" w:ascii="仿宋_GB2312"/>
                <w:color w:val="000000"/>
                <w:kern w:val="24"/>
                <w:sz w:val="24"/>
              </w:rPr>
              <w:t>99.8%</w:t>
            </w:r>
            <w:r>
              <w:rPr>
                <w:rFonts w:hint="eastAsia" w:ascii="仿宋_GB2312"/>
                <w:kern w:val="0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24"/>
                <w:sz w:val="24"/>
              </w:rPr>
              <w:t>100%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24"/>
                <w:sz w:val="24"/>
              </w:rPr>
              <w:t>完成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00" w:lineRule="exact"/>
              <w:ind w:firstLine="0" w:firstLineChars="0"/>
              <w:jc w:val="center"/>
              <w:rPr>
                <w:rFonts w:hint="eastAsia" w:ascii="仿宋_GB2312"/>
                <w:kern w:val="0"/>
                <w:sz w:val="24"/>
              </w:rPr>
            </w:pPr>
            <w:r>
              <w:rPr>
                <w:rFonts w:ascii="仿宋_GB2312"/>
                <w:kern w:val="0"/>
                <w:sz w:val="24"/>
              </w:rPr>
              <w:t>8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24"/>
                <w:sz w:val="24"/>
              </w:rPr>
              <w:t>全区危险废物和医疗废物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24"/>
                <w:sz w:val="24"/>
              </w:rPr>
              <w:t>实现无害化处置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24"/>
                <w:sz w:val="24"/>
              </w:rPr>
              <w:t>实现无害化处置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24"/>
                <w:sz w:val="24"/>
              </w:rPr>
              <w:t>完成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" w:hRule="atLeast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/>
                <w:color w:val="000000"/>
                <w:kern w:val="24"/>
                <w:sz w:val="24"/>
              </w:rPr>
            </w:pPr>
            <w:r>
              <w:rPr>
                <w:rFonts w:ascii="仿宋_GB2312"/>
                <w:color w:val="000000"/>
                <w:kern w:val="24"/>
                <w:sz w:val="24"/>
              </w:rPr>
              <w:t>9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/>
                <w:color w:val="000000"/>
                <w:kern w:val="24"/>
                <w:sz w:val="24"/>
              </w:rPr>
            </w:pPr>
            <w:r>
              <w:rPr>
                <w:rFonts w:hint="eastAsia" w:ascii="仿宋_GB2312"/>
                <w:color w:val="000000"/>
                <w:kern w:val="24"/>
                <w:sz w:val="24"/>
              </w:rPr>
              <w:t>二氧化硫排放总量减少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/>
                <w:color w:val="000000"/>
                <w:kern w:val="24"/>
                <w:sz w:val="24"/>
              </w:rPr>
            </w:pPr>
            <w:r>
              <w:rPr>
                <w:rFonts w:hint="eastAsia" w:ascii="仿宋_GB2312"/>
                <w:color w:val="000000"/>
                <w:kern w:val="24"/>
                <w:sz w:val="24"/>
              </w:rPr>
              <w:t>90%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/>
                <w:color w:val="000000"/>
                <w:kern w:val="24"/>
                <w:sz w:val="24"/>
              </w:rPr>
            </w:pPr>
            <w:r>
              <w:rPr>
                <w:rFonts w:hint="eastAsia" w:ascii="仿宋_GB2312"/>
                <w:color w:val="000000"/>
                <w:kern w:val="24"/>
                <w:sz w:val="24"/>
              </w:rPr>
              <w:t>96.9%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/>
                <w:kern w:val="0"/>
                <w:sz w:val="24"/>
              </w:rPr>
            </w:pPr>
            <w:r>
              <w:rPr>
                <w:rFonts w:hint="eastAsia" w:ascii="仿宋_GB2312"/>
                <w:kern w:val="24"/>
                <w:sz w:val="24"/>
              </w:rPr>
              <w:t>完成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" w:hRule="atLeast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00" w:lineRule="exact"/>
              <w:ind w:firstLine="0" w:firstLineChars="0"/>
              <w:jc w:val="center"/>
              <w:rPr>
                <w:rFonts w:hint="eastAsia" w:ascii="仿宋_GB2312"/>
                <w:kern w:val="0"/>
                <w:sz w:val="24"/>
              </w:rPr>
            </w:pPr>
            <w:r>
              <w:rPr>
                <w:rFonts w:ascii="仿宋_GB2312"/>
                <w:kern w:val="0"/>
                <w:sz w:val="24"/>
              </w:rPr>
              <w:t>10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/>
                <w:color w:val="000000"/>
                <w:kern w:val="24"/>
                <w:sz w:val="24"/>
              </w:rPr>
            </w:pPr>
            <w:r>
              <w:rPr>
                <w:rFonts w:hint="eastAsia" w:ascii="仿宋_GB2312"/>
                <w:color w:val="000000"/>
                <w:kern w:val="24"/>
                <w:sz w:val="24"/>
              </w:rPr>
              <w:t>氮氧化物排放总量减少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/>
                <w:color w:val="000000"/>
                <w:kern w:val="24"/>
                <w:sz w:val="24"/>
              </w:rPr>
            </w:pPr>
            <w:r>
              <w:rPr>
                <w:rFonts w:hint="eastAsia" w:ascii="仿宋_GB2312"/>
                <w:color w:val="000000"/>
                <w:kern w:val="24"/>
                <w:sz w:val="24"/>
              </w:rPr>
              <w:t>30%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/>
                <w:color w:val="000000"/>
                <w:kern w:val="24"/>
                <w:sz w:val="24"/>
              </w:rPr>
            </w:pPr>
            <w:r>
              <w:rPr>
                <w:rFonts w:hint="eastAsia" w:ascii="仿宋_GB2312"/>
                <w:color w:val="000000"/>
                <w:kern w:val="24"/>
                <w:sz w:val="24"/>
              </w:rPr>
              <w:t>51.2%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24"/>
                <w:sz w:val="24"/>
              </w:rPr>
              <w:t>完成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00" w:lineRule="exact"/>
              <w:ind w:firstLine="0" w:firstLineChars="0"/>
              <w:jc w:val="center"/>
              <w:rPr>
                <w:rFonts w:hint="eastAsia" w:ascii="仿宋_GB2312"/>
                <w:kern w:val="0"/>
                <w:sz w:val="24"/>
              </w:rPr>
            </w:pPr>
            <w:r>
              <w:rPr>
                <w:rFonts w:ascii="仿宋_GB2312"/>
                <w:kern w:val="0"/>
                <w:sz w:val="24"/>
              </w:rPr>
              <w:t>11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/>
                <w:color w:val="000000"/>
                <w:kern w:val="24"/>
                <w:sz w:val="24"/>
              </w:rPr>
            </w:pPr>
            <w:r>
              <w:rPr>
                <w:rFonts w:hint="eastAsia" w:ascii="仿宋_GB2312"/>
                <w:color w:val="000000"/>
                <w:kern w:val="24"/>
                <w:sz w:val="24"/>
              </w:rPr>
              <w:t>挥发性有机物排放总量减少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/>
                <w:color w:val="000000"/>
                <w:kern w:val="24"/>
                <w:sz w:val="24"/>
              </w:rPr>
            </w:pPr>
            <w:r>
              <w:rPr>
                <w:rFonts w:hint="eastAsia" w:ascii="仿宋_GB2312"/>
                <w:color w:val="000000"/>
                <w:kern w:val="24"/>
                <w:sz w:val="24"/>
              </w:rPr>
              <w:t>30%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/>
                <w:color w:val="000000"/>
                <w:kern w:val="24"/>
                <w:sz w:val="24"/>
              </w:rPr>
            </w:pPr>
            <w:r>
              <w:rPr>
                <w:rFonts w:hint="eastAsia" w:ascii="仿宋_GB2312"/>
                <w:color w:val="000000"/>
                <w:kern w:val="24"/>
                <w:sz w:val="24"/>
              </w:rPr>
              <w:t>47.22%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24"/>
                <w:sz w:val="24"/>
              </w:rPr>
              <w:t>完成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" w:hRule="atLeast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/>
                <w:color w:val="000000"/>
                <w:kern w:val="24"/>
                <w:sz w:val="24"/>
              </w:rPr>
            </w:pPr>
            <w:r>
              <w:rPr>
                <w:rFonts w:hint="eastAsia" w:ascii="仿宋_GB2312"/>
                <w:color w:val="000000"/>
                <w:kern w:val="24"/>
                <w:sz w:val="24"/>
              </w:rPr>
              <w:t>1</w:t>
            </w:r>
            <w:r>
              <w:rPr>
                <w:rFonts w:ascii="仿宋_GB2312"/>
                <w:color w:val="000000"/>
                <w:kern w:val="24"/>
                <w:sz w:val="24"/>
              </w:rPr>
              <w:t>2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24"/>
                <w:sz w:val="24"/>
              </w:rPr>
              <w:t>化学需氧量减排量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24"/>
                <w:sz w:val="24"/>
              </w:rPr>
              <w:t>898吨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/>
                <w:color w:val="000000"/>
                <w:kern w:val="24"/>
                <w:sz w:val="24"/>
              </w:rPr>
            </w:pPr>
            <w:r>
              <w:rPr>
                <w:rFonts w:hint="eastAsia" w:ascii="仿宋_GB2312"/>
                <w:color w:val="000000"/>
                <w:kern w:val="24"/>
                <w:sz w:val="24"/>
              </w:rPr>
              <w:t>7345吨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24"/>
                <w:sz w:val="24"/>
              </w:rPr>
              <w:t>完成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00" w:lineRule="exact"/>
              <w:ind w:firstLine="0" w:firstLineChars="0"/>
              <w:jc w:val="center"/>
              <w:rPr>
                <w:rFonts w:hint="eastAsia" w:ascii="仿宋_GB2312"/>
                <w:kern w:val="0"/>
                <w:sz w:val="24"/>
              </w:rPr>
            </w:pPr>
            <w:r>
              <w:rPr>
                <w:rFonts w:hint="eastAsia" w:ascii="仿宋_GB2312"/>
                <w:kern w:val="0"/>
                <w:sz w:val="24"/>
              </w:rPr>
              <w:t>1</w:t>
            </w:r>
            <w:r>
              <w:rPr>
                <w:rFonts w:ascii="仿宋_GB2312"/>
                <w:kern w:val="0"/>
                <w:sz w:val="24"/>
              </w:rPr>
              <w:t>3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24"/>
                <w:sz w:val="24"/>
              </w:rPr>
              <w:t>氨氮减排量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24"/>
                <w:sz w:val="24"/>
              </w:rPr>
              <w:t>106吨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/>
                <w:color w:val="000000"/>
                <w:kern w:val="24"/>
                <w:sz w:val="24"/>
              </w:rPr>
            </w:pPr>
            <w:r>
              <w:rPr>
                <w:rFonts w:hint="eastAsia" w:ascii="仿宋_GB2312"/>
                <w:color w:val="000000"/>
                <w:kern w:val="24"/>
                <w:sz w:val="24"/>
              </w:rPr>
              <w:t>725吨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24"/>
                <w:sz w:val="24"/>
              </w:rPr>
              <w:t>完成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" w:hRule="atLeast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/>
                <w:color w:val="000000"/>
                <w:kern w:val="24"/>
                <w:sz w:val="24"/>
              </w:rPr>
            </w:pPr>
            <w:r>
              <w:rPr>
                <w:rFonts w:hint="eastAsia" w:ascii="仿宋_GB2312"/>
                <w:color w:val="000000"/>
                <w:kern w:val="24"/>
                <w:sz w:val="24"/>
              </w:rPr>
              <w:t>1</w:t>
            </w:r>
            <w:r>
              <w:rPr>
                <w:rFonts w:ascii="仿宋_GB2312"/>
                <w:color w:val="000000"/>
                <w:kern w:val="24"/>
                <w:sz w:val="24"/>
              </w:rPr>
              <w:t>4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24"/>
                <w:sz w:val="24"/>
              </w:rPr>
              <w:t>森林覆盖率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24"/>
                <w:sz w:val="24"/>
              </w:rPr>
              <w:t>30.16%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24"/>
                <w:sz w:val="24"/>
              </w:rPr>
              <w:t>32.88%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24"/>
                <w:sz w:val="24"/>
              </w:rPr>
              <w:t>完成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" w:hRule="atLeast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00" w:lineRule="exact"/>
              <w:ind w:firstLine="0" w:firstLineChars="0"/>
              <w:jc w:val="center"/>
              <w:rPr>
                <w:rFonts w:hint="eastAsia" w:ascii="仿宋_GB2312"/>
                <w:kern w:val="0"/>
                <w:sz w:val="24"/>
              </w:rPr>
            </w:pPr>
            <w:r>
              <w:rPr>
                <w:rFonts w:hint="eastAsia" w:ascii="仿宋_GB2312"/>
                <w:kern w:val="0"/>
                <w:sz w:val="24"/>
              </w:rPr>
              <w:t>1</w:t>
            </w:r>
            <w:r>
              <w:rPr>
                <w:rFonts w:ascii="仿宋_GB2312"/>
                <w:kern w:val="0"/>
                <w:sz w:val="24"/>
              </w:rPr>
              <w:t>5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24"/>
                <w:sz w:val="24"/>
              </w:rPr>
              <w:t>林木绿化率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24"/>
                <w:sz w:val="24"/>
              </w:rPr>
              <w:t>32.80%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24"/>
                <w:sz w:val="24"/>
              </w:rPr>
              <w:t>3</w:t>
            </w:r>
            <w:r>
              <w:rPr>
                <w:rFonts w:ascii="仿宋_GB2312"/>
                <w:color w:val="000000"/>
                <w:kern w:val="24"/>
                <w:sz w:val="24"/>
              </w:rPr>
              <w:t>2</w:t>
            </w:r>
            <w:r>
              <w:rPr>
                <w:rFonts w:hint="eastAsia" w:ascii="仿宋_GB2312"/>
                <w:color w:val="000000"/>
                <w:kern w:val="24"/>
                <w:sz w:val="24"/>
              </w:rPr>
              <w:t>.46%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24"/>
                <w:sz w:val="24"/>
              </w:rPr>
              <w:t>完成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" w:hRule="atLeast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/>
                <w:color w:val="000000"/>
                <w:kern w:val="24"/>
                <w:sz w:val="24"/>
              </w:rPr>
            </w:pPr>
            <w:r>
              <w:rPr>
                <w:rFonts w:ascii="仿宋_GB2312"/>
                <w:color w:val="000000"/>
                <w:kern w:val="24"/>
                <w:sz w:val="24"/>
              </w:rPr>
              <w:t>16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24"/>
                <w:sz w:val="24"/>
              </w:rPr>
              <w:t>城市绿地率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24"/>
                <w:sz w:val="24"/>
              </w:rPr>
              <w:t>42%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24"/>
                <w:sz w:val="24"/>
              </w:rPr>
              <w:t>48.78%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24"/>
                <w:sz w:val="24"/>
              </w:rPr>
              <w:t>完成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" w:hRule="atLeast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00" w:lineRule="exact"/>
              <w:ind w:firstLine="0" w:firstLineChars="0"/>
              <w:jc w:val="center"/>
              <w:rPr>
                <w:rFonts w:hint="eastAsia" w:ascii="仿宋_GB2312"/>
                <w:kern w:val="0"/>
                <w:sz w:val="24"/>
              </w:rPr>
            </w:pPr>
            <w:r>
              <w:rPr>
                <w:rFonts w:ascii="仿宋_GB2312"/>
                <w:kern w:val="0"/>
                <w:sz w:val="24"/>
              </w:rPr>
              <w:t>17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24"/>
                <w:sz w:val="24"/>
              </w:rPr>
              <w:t>城市绿化覆盖率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24"/>
                <w:sz w:val="24"/>
              </w:rPr>
              <w:t>45%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24"/>
                <w:sz w:val="24"/>
              </w:rPr>
              <w:t>45.95%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24"/>
                <w:sz w:val="24"/>
              </w:rPr>
              <w:t>完成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" w:hRule="atLeast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00" w:lineRule="exact"/>
              <w:ind w:firstLine="0" w:firstLineChars="0"/>
              <w:jc w:val="center"/>
              <w:rPr>
                <w:rFonts w:hint="eastAsia" w:ascii="仿宋_GB2312"/>
                <w:kern w:val="0"/>
                <w:sz w:val="24"/>
              </w:rPr>
            </w:pPr>
            <w:r>
              <w:rPr>
                <w:rFonts w:ascii="仿宋_GB2312"/>
                <w:kern w:val="0"/>
                <w:sz w:val="24"/>
              </w:rPr>
              <w:t>18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24"/>
                <w:sz w:val="24"/>
              </w:rPr>
              <w:t>人均公共绿地面积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24"/>
                <w:sz w:val="24"/>
              </w:rPr>
              <w:t>14.5平方米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24"/>
                <w:sz w:val="24"/>
              </w:rPr>
              <w:t>14.62平方米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24"/>
                <w:sz w:val="24"/>
              </w:rPr>
              <w:t>完成</w:t>
            </w:r>
          </w:p>
        </w:tc>
      </w:tr>
      <w:bookmarkEnd w:id="46"/>
      <w:bookmarkEnd w:id="47"/>
      <w:bookmarkEnd w:id="48"/>
    </w:tbl>
    <w:p>
      <w:pPr>
        <w:pStyle w:val="3"/>
        <w:ind w:firstLine="640"/>
      </w:pPr>
      <w:bookmarkStart w:id="49" w:name="_Toc427228881"/>
      <w:bookmarkStart w:id="50" w:name="_Toc427228753"/>
      <w:bookmarkStart w:id="51" w:name="_Toc77843922"/>
      <w:bookmarkStart w:id="52" w:name="_Toc427522956"/>
      <w:bookmarkStart w:id="53" w:name="_Toc427229060"/>
      <w:bookmarkStart w:id="54" w:name="_Toc85459366"/>
      <w:bookmarkStart w:id="55" w:name="_Toc87546049"/>
      <w:r>
        <w:t>二、</w:t>
      </w:r>
      <w:r>
        <w:rPr>
          <w:rFonts w:ascii="黑体" w:hAnsi="黑体"/>
        </w:rPr>
        <w:t>“十四五”</w:t>
      </w:r>
      <w:r>
        <w:rPr>
          <w:rFonts w:hint="eastAsia"/>
        </w:rPr>
        <w:t>时期</w:t>
      </w:r>
      <w:r>
        <w:t>生态环境保护</w:t>
      </w:r>
      <w:bookmarkEnd w:id="49"/>
      <w:bookmarkEnd w:id="50"/>
      <w:bookmarkEnd w:id="51"/>
      <w:bookmarkEnd w:id="52"/>
      <w:bookmarkEnd w:id="53"/>
      <w:r>
        <w:rPr>
          <w:rFonts w:hint="eastAsia"/>
        </w:rPr>
        <w:t>面临</w:t>
      </w:r>
      <w:bookmarkEnd w:id="54"/>
      <w:r>
        <w:rPr>
          <w:rFonts w:hint="eastAsia"/>
        </w:rPr>
        <w:t>新挑战与新机遇</w:t>
      </w:r>
      <w:bookmarkEnd w:id="55"/>
    </w:p>
    <w:p>
      <w:pPr>
        <w:pStyle w:val="4"/>
        <w:ind w:firstLine="640"/>
        <w:rPr>
          <w:rFonts w:hint="eastAsia"/>
        </w:rPr>
      </w:pPr>
      <w:bookmarkStart w:id="56" w:name="_Toc87546050"/>
      <w:bookmarkStart w:id="57" w:name="_Toc87268286"/>
      <w:bookmarkStart w:id="58" w:name="_Toc87519652"/>
      <w:r>
        <w:rPr>
          <w:rFonts w:hint="eastAsia"/>
        </w:rPr>
        <w:t>（一）面临新挑战</w:t>
      </w:r>
      <w:bookmarkEnd w:id="56"/>
      <w:bookmarkEnd w:id="57"/>
      <w:bookmarkEnd w:id="58"/>
    </w:p>
    <w:p>
      <w:pPr>
        <w:ind w:firstLine="643"/>
        <w:rPr>
          <w:rFonts w:hint="eastAsia" w:ascii="仿宋_GB2312"/>
        </w:rPr>
      </w:pPr>
      <w:bookmarkStart w:id="59" w:name="_Toc85459367"/>
      <w:bookmarkStart w:id="60" w:name="_Toc85642599"/>
      <w:bookmarkStart w:id="61" w:name="_Toc85459969"/>
      <w:bookmarkStart w:id="62" w:name="_Toc79160335"/>
      <w:bookmarkStart w:id="63" w:name="_Toc77843923"/>
      <w:r>
        <w:rPr>
          <w:rFonts w:hint="eastAsia" w:ascii="仿宋_GB2312"/>
          <w:b/>
        </w:rPr>
        <w:t>空气持续改善难度加大</w:t>
      </w:r>
      <w:r>
        <w:rPr>
          <w:rFonts w:hint="eastAsia"/>
          <w:b/>
        </w:rPr>
        <w:t>。</w:t>
      </w:r>
      <w:bookmarkEnd w:id="59"/>
      <w:bookmarkEnd w:id="60"/>
      <w:bookmarkEnd w:id="61"/>
      <w:bookmarkEnd w:id="62"/>
      <w:bookmarkEnd w:id="63"/>
      <w:r>
        <w:rPr>
          <w:rFonts w:hint="eastAsia" w:ascii="仿宋_GB2312"/>
        </w:rPr>
        <w:t>PM</w:t>
      </w:r>
      <w:r>
        <w:rPr>
          <w:rFonts w:hint="eastAsia" w:ascii="仿宋_GB2312"/>
          <w:vertAlign w:val="subscript"/>
        </w:rPr>
        <w:t>2.5</w:t>
      </w:r>
      <w:r>
        <w:rPr>
          <w:rFonts w:hint="eastAsia" w:ascii="仿宋_GB2312"/>
        </w:rPr>
        <w:t>仍未达到国家标准，城市正常运行和市民日常生活产生的污染物所占比重越来越大，呈现点多面广的特点，治理难度加大，减排空间收窄。大兴国际机场飞机起降排放的污染物量较大，移动源污染仍较突出。夏季臭氧问题突出、成因复杂，防治难度大，协同治理PM</w:t>
      </w:r>
      <w:r>
        <w:rPr>
          <w:rFonts w:hint="eastAsia" w:ascii="仿宋_GB2312"/>
          <w:vertAlign w:val="subscript"/>
        </w:rPr>
        <w:t>2.5</w:t>
      </w:r>
      <w:r>
        <w:rPr>
          <w:rFonts w:hint="eastAsia" w:ascii="仿宋_GB2312"/>
        </w:rPr>
        <w:t xml:space="preserve">和臭氧成为下一阶段的重要任务。 </w:t>
      </w:r>
    </w:p>
    <w:p>
      <w:pPr>
        <w:ind w:firstLine="643"/>
        <w:rPr>
          <w:rFonts w:ascii="仿宋_GB2312"/>
          <w:szCs w:val="32"/>
        </w:rPr>
      </w:pPr>
      <w:bookmarkStart w:id="64" w:name="_Toc85642600"/>
      <w:bookmarkStart w:id="65" w:name="_Toc79160336"/>
      <w:bookmarkStart w:id="66" w:name="_Toc85459970"/>
      <w:bookmarkStart w:id="67" w:name="_Toc85459368"/>
      <w:bookmarkStart w:id="68" w:name="_Toc77843924"/>
      <w:r>
        <w:rPr>
          <w:rFonts w:hint="eastAsia"/>
          <w:b/>
        </w:rPr>
        <w:t>水资源短缺与水污染并存。</w:t>
      </w:r>
      <w:bookmarkEnd w:id="64"/>
      <w:bookmarkEnd w:id="65"/>
      <w:bookmarkEnd w:id="66"/>
      <w:bookmarkEnd w:id="67"/>
      <w:bookmarkEnd w:id="68"/>
      <w:r>
        <w:rPr>
          <w:rFonts w:hint="eastAsia" w:ascii="仿宋_GB2312"/>
          <w:szCs w:val="32"/>
        </w:rPr>
        <w:t>仍有个别镇街水质考核断面不达标，已达标水质断面稳定性需要进一步巩固。部分饮用水保护区内及周边存在工业企业、商铺等风险源。2020年全区污水处理率为92%，低于全市平均水平，污水收集管线，再生水利用管线等污水收集处理设施有待进一步完善。</w:t>
      </w:r>
      <w:bookmarkStart w:id="69" w:name="_Toc79160337"/>
      <w:bookmarkStart w:id="70" w:name="_Toc85459369"/>
      <w:bookmarkStart w:id="71" w:name="_Toc77843925"/>
      <w:bookmarkStart w:id="72" w:name="_Toc85459971"/>
      <w:bookmarkStart w:id="73" w:name="_Toc85642601"/>
    </w:p>
    <w:p>
      <w:pPr>
        <w:ind w:firstLine="643"/>
        <w:rPr>
          <w:rFonts w:ascii="仿宋_GB2312"/>
          <w:szCs w:val="32"/>
        </w:rPr>
      </w:pPr>
      <w:bookmarkStart w:id="74" w:name="_Toc79160339"/>
      <w:bookmarkStart w:id="75" w:name="_Toc85459973"/>
      <w:bookmarkStart w:id="76" w:name="_Toc85642603"/>
      <w:bookmarkStart w:id="77" w:name="_Toc85459371"/>
      <w:bookmarkStart w:id="78" w:name="_Toc77843927"/>
      <w:r>
        <w:rPr>
          <w:b/>
        </w:rPr>
        <w:t>土壤污染</w:t>
      </w:r>
      <w:r>
        <w:rPr>
          <w:rFonts w:hint="eastAsia"/>
          <w:b/>
        </w:rPr>
        <w:t>防治工作</w:t>
      </w:r>
      <w:r>
        <w:rPr>
          <w:b/>
        </w:rPr>
        <w:t>有待深入</w:t>
      </w:r>
      <w:bookmarkEnd w:id="74"/>
      <w:bookmarkEnd w:id="75"/>
      <w:bookmarkEnd w:id="76"/>
      <w:bookmarkEnd w:id="77"/>
      <w:bookmarkEnd w:id="78"/>
      <w:r>
        <w:rPr>
          <w:rFonts w:hint="eastAsia"/>
          <w:b/>
        </w:rPr>
        <w:t>开展。</w:t>
      </w:r>
      <w:r>
        <w:rPr>
          <w:rFonts w:hint="eastAsia" w:ascii="仿宋_GB2312"/>
          <w:szCs w:val="32"/>
        </w:rPr>
        <w:t>“十三五”期间，尽管针对土壤状况开展了详查工作，但是某些区域土壤情况仍存在底数不清、状况未知的风险隐患，工业大院、水源保护区、农村等典型区域监测网点覆盖不足，尚未全面掌握土壤环境质量状况。工业企业关停遗留地块存在土壤污染潜在风险。新兴产业园区成为土壤污染新的风险源头，土壤污染源头预防压力将长期存在。</w:t>
      </w:r>
    </w:p>
    <w:p>
      <w:pPr>
        <w:ind w:firstLine="643"/>
        <w:rPr>
          <w:rFonts w:hint="eastAsia" w:ascii="仿宋_GB2312"/>
        </w:rPr>
      </w:pPr>
      <w:r>
        <w:rPr>
          <w:b/>
        </w:rPr>
        <w:t>生态</w:t>
      </w:r>
      <w:r>
        <w:rPr>
          <w:rFonts w:hint="eastAsia"/>
          <w:b/>
        </w:rPr>
        <w:t>质量和功能尚需进一步</w:t>
      </w:r>
      <w:bookmarkEnd w:id="69"/>
      <w:bookmarkEnd w:id="70"/>
      <w:bookmarkEnd w:id="71"/>
      <w:bookmarkEnd w:id="72"/>
      <w:bookmarkEnd w:id="73"/>
      <w:r>
        <w:rPr>
          <w:rFonts w:hint="eastAsia"/>
          <w:b/>
        </w:rPr>
        <w:t>提升。</w:t>
      </w:r>
      <w:r>
        <w:rPr>
          <w:rFonts w:hint="eastAsia"/>
        </w:rPr>
        <w:t>除公园绿</w:t>
      </w:r>
      <w:r>
        <w:rPr>
          <w:rFonts w:hint="eastAsia" w:ascii="仿宋_GB2312"/>
        </w:rPr>
        <w:t>地500米服务半径覆盖率，森林和城市绿地各项指标仍远低于北京市平均水平。生态环境状况指数（EI）远低于全市平均，有待进一步提升，生物多样性保护工作有待加强。生态保护红线和自然保护地亟需落地，严格管理。</w:t>
      </w:r>
    </w:p>
    <w:p>
      <w:pPr>
        <w:ind w:firstLine="643"/>
        <w:rPr>
          <w:rFonts w:hint="eastAsia" w:ascii="仿宋_GB2312"/>
          <w:szCs w:val="32"/>
        </w:rPr>
      </w:pPr>
      <w:bookmarkStart w:id="79" w:name="_Toc85459972"/>
      <w:bookmarkStart w:id="80" w:name="_Toc85642602"/>
      <w:bookmarkStart w:id="81" w:name="_Toc85459370"/>
      <w:bookmarkStart w:id="82" w:name="_Toc79160338"/>
      <w:bookmarkStart w:id="83" w:name="_Toc77843926"/>
      <w:r>
        <w:rPr>
          <w:rFonts w:hint="eastAsia"/>
          <w:b/>
        </w:rPr>
        <w:t>噪声污染防治仍需不断加强</w:t>
      </w:r>
      <w:bookmarkEnd w:id="79"/>
      <w:bookmarkEnd w:id="80"/>
      <w:bookmarkEnd w:id="81"/>
      <w:bookmarkEnd w:id="82"/>
      <w:bookmarkEnd w:id="83"/>
      <w:r>
        <w:rPr>
          <w:rFonts w:hint="eastAsia"/>
          <w:b/>
        </w:rPr>
        <w:t>。</w:t>
      </w:r>
      <w:r>
        <w:rPr>
          <w:rFonts w:hint="eastAsia" w:ascii="仿宋_GB2312"/>
          <w:szCs w:val="32"/>
        </w:rPr>
        <w:t>全区噪声来源构成以交通噪声和生活噪声为主，生活噪声比重持续增加。“十三五”期间全区区域平均噪声等效值逐渐提高，2020年监测噪声达标率仅为73.1%。其中交通噪声污染较为突出，超标路段占到监测路段的4</w:t>
      </w:r>
      <w:r>
        <w:rPr>
          <w:rFonts w:ascii="仿宋_GB2312"/>
          <w:szCs w:val="32"/>
        </w:rPr>
        <w:t>0</w:t>
      </w:r>
      <w:r>
        <w:rPr>
          <w:rFonts w:hint="eastAsia" w:ascii="仿宋_GB2312"/>
          <w:szCs w:val="32"/>
        </w:rPr>
        <w:t>%。</w:t>
      </w:r>
    </w:p>
    <w:p>
      <w:pPr>
        <w:pStyle w:val="4"/>
        <w:ind w:firstLine="640"/>
        <w:rPr>
          <w:rFonts w:hint="eastAsia"/>
        </w:rPr>
      </w:pPr>
      <w:bookmarkStart w:id="84" w:name="_Toc87519653"/>
      <w:bookmarkStart w:id="85" w:name="_Toc87268287"/>
      <w:bookmarkStart w:id="86" w:name="_Toc87546051"/>
      <w:r>
        <w:rPr>
          <w:rFonts w:hint="eastAsia"/>
        </w:rPr>
        <w:t>（二）迎来新机遇</w:t>
      </w:r>
      <w:bookmarkEnd w:id="84"/>
      <w:bookmarkEnd w:id="85"/>
      <w:bookmarkEnd w:id="86"/>
    </w:p>
    <w:p>
      <w:pPr>
        <w:ind w:firstLine="640"/>
        <w:rPr>
          <w:rFonts w:hint="eastAsia"/>
        </w:rPr>
      </w:pPr>
      <w:r>
        <w:rPr>
          <w:rFonts w:hint="eastAsia"/>
        </w:rPr>
        <w:t>“十四五”时期大兴区进入新发展阶段，处于重要战略机遇期。党的十九大对新时期生态文明建设做了系统完整的战略部署，提出推进绿色发展、解决突出环境问题、加大生态系统保护、改革生态环境监管体制等任务。十九届五中全会明确提出要坚持绿色发展，促进人与自然和谐共生。习近平总书记作出碳达峰、碳中和的国际承诺，对生态环境保护工作提出新要求。习近平总书记对北</w:t>
      </w:r>
      <w:r>
        <w:rPr>
          <w:rFonts w:hint="eastAsia" w:ascii="仿宋_GB2312"/>
        </w:rPr>
        <w:t>京重要讲话精神为新时期生态环境保护工作提供工作方向。《北京城市总体规划》（2016年-2035年）确定大兴区“三区一门</w:t>
      </w:r>
      <w:r>
        <w:rPr>
          <w:rFonts w:hint="eastAsia"/>
        </w:rPr>
        <w:t>户”的功能定位，大兴区新建设新发展，在污染物减排、新能源利用、应对气候变化方面提出更高需求。因此，全区要胸怀“两个大局”，深刻认识国家和首都发展为大兴区生态环境保护带来的新机遇、赋予的新职责，深刻认识大兴持续改善生态环境必须战胜的挑战，努力构建生态文明建设和生态环境保护新格局，助力开创“风生水起在大兴”的新局面。</w:t>
      </w:r>
    </w:p>
    <w:p>
      <w:pPr>
        <w:ind w:left="640" w:firstLine="0" w:firstLineChars="0"/>
        <w:sectPr>
          <w:footerReference r:id="rId5" w:type="default"/>
          <w:footerReference r:id="rId6" w:type="even"/>
          <w:pgSz w:w="11906" w:h="16838"/>
          <w:pgMar w:top="1440" w:right="1797" w:bottom="1440" w:left="1797" w:header="851" w:footer="992" w:gutter="0"/>
          <w:pgNumType w:fmt="numberInDash" w:start="1"/>
          <w:cols w:space="720" w:num="1"/>
          <w:docGrid w:type="lines" w:linePitch="312" w:charSpace="0"/>
        </w:sectPr>
      </w:pPr>
    </w:p>
    <w:p>
      <w:bookmarkStart w:id="87" w:name="_GoBack"/>
      <w:bookmarkEnd w:id="87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560"/>
      <w:jc w:val="right"/>
      <w:rPr>
        <w:rFonts w:hint="eastAsia" w:ascii="仿宋_GB2312"/>
        <w:sz w:val="28"/>
        <w:szCs w:val="28"/>
      </w:rPr>
    </w:pPr>
    <w:r>
      <w:rPr>
        <w:rFonts w:hint="eastAsia" w:ascii="仿宋_GB2312"/>
        <w:sz w:val="28"/>
        <w:szCs w:val="28"/>
      </w:rPr>
      <w:fldChar w:fldCharType="begin"/>
    </w:r>
    <w:r>
      <w:rPr>
        <w:rFonts w:hint="eastAsia" w:ascii="仿宋_GB2312"/>
        <w:sz w:val="28"/>
        <w:szCs w:val="28"/>
      </w:rPr>
      <w:instrText xml:space="preserve">PAGE   \* MERGEFORMAT</w:instrText>
    </w:r>
    <w:r>
      <w:rPr>
        <w:rFonts w:hint="eastAsia" w:ascii="仿宋_GB2312"/>
        <w:sz w:val="28"/>
        <w:szCs w:val="28"/>
      </w:rPr>
      <w:fldChar w:fldCharType="separate"/>
    </w:r>
    <w:r>
      <w:rPr>
        <w:rFonts w:ascii="仿宋_GB2312"/>
        <w:sz w:val="28"/>
        <w:szCs w:val="28"/>
        <w:lang w:val="zh-CN"/>
      </w:rPr>
      <w:t>-</w:t>
    </w:r>
    <w:r>
      <w:rPr>
        <w:rFonts w:ascii="仿宋_GB2312"/>
        <w:sz w:val="28"/>
        <w:szCs w:val="28"/>
      </w:rPr>
      <w:t xml:space="preserve"> 1 -</w:t>
    </w:r>
    <w:r>
      <w:rPr>
        <w:rFonts w:hint="eastAsia" w:ascii="仿宋_GB2312"/>
        <w:sz w:val="28"/>
        <w:szCs w:val="28"/>
      </w:rPr>
      <w:fldChar w:fldCharType="end"/>
    </w:r>
  </w:p>
  <w:p>
    <w:pPr>
      <w:pStyle w:val="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0" w:firstLineChars="0"/>
      <w:rPr>
        <w:rFonts w:hint="eastAsia" w:ascii="仿宋_GB2312"/>
        <w:sz w:val="28"/>
        <w:szCs w:val="28"/>
      </w:rPr>
    </w:pPr>
    <w:r>
      <w:rPr>
        <w:rFonts w:hint="eastAsia" w:ascii="仿宋_GB2312"/>
        <w:sz w:val="28"/>
        <w:szCs w:val="28"/>
      </w:rPr>
      <w:fldChar w:fldCharType="begin"/>
    </w:r>
    <w:r>
      <w:rPr>
        <w:rFonts w:hint="eastAsia" w:ascii="仿宋_GB2312"/>
        <w:sz w:val="28"/>
        <w:szCs w:val="28"/>
      </w:rPr>
      <w:instrText xml:space="preserve">PAGE   \* MERGEFORMAT</w:instrText>
    </w:r>
    <w:r>
      <w:rPr>
        <w:rFonts w:hint="eastAsia" w:ascii="仿宋_GB2312"/>
        <w:sz w:val="28"/>
        <w:szCs w:val="28"/>
      </w:rPr>
      <w:fldChar w:fldCharType="separate"/>
    </w:r>
    <w:r>
      <w:rPr>
        <w:rFonts w:ascii="仿宋_GB2312"/>
        <w:sz w:val="28"/>
        <w:szCs w:val="28"/>
        <w:lang w:val="zh-CN"/>
      </w:rPr>
      <w:t>-</w:t>
    </w:r>
    <w:r>
      <w:rPr>
        <w:rFonts w:ascii="仿宋_GB2312"/>
        <w:sz w:val="28"/>
        <w:szCs w:val="28"/>
      </w:rPr>
      <w:t xml:space="preserve"> 2 -</w:t>
    </w:r>
    <w:r>
      <w:rPr>
        <w:rFonts w:hint="eastAsia" w:ascii="仿宋_GB2312"/>
        <w:sz w:val="28"/>
        <w:szCs w:val="28"/>
      </w:rPr>
      <w:fldChar w:fldCharType="end"/>
    </w:r>
  </w:p>
  <w:p>
    <w:pPr>
      <w:pStyle w:val="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EF78C3"/>
    <w:multiLevelType w:val="multilevel"/>
    <w:tmpl w:val="7EEF78C3"/>
    <w:lvl w:ilvl="0" w:tentative="0">
      <w:start w:val="1"/>
      <w:numFmt w:val="japaneseCounting"/>
      <w:lvlText w:val="第%1章"/>
      <w:lvlJc w:val="left"/>
      <w:pPr>
        <w:ind w:left="1260" w:hanging="12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B43752"/>
    <w:rsid w:val="0BB43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outlineLvl w:val="0"/>
    </w:pPr>
    <w:rPr>
      <w:rFonts w:eastAsia="黑体"/>
      <w:bCs/>
      <w:kern w:val="44"/>
      <w:sz w:val="32"/>
      <w:szCs w:val="44"/>
    </w:rPr>
  </w:style>
  <w:style w:type="paragraph" w:styleId="4">
    <w:name w:val="heading 2"/>
    <w:basedOn w:val="1"/>
    <w:next w:val="1"/>
    <w:qFormat/>
    <w:uiPriority w:val="9"/>
    <w:pPr>
      <w:keepNext/>
      <w:keepLines/>
      <w:spacing w:line="560" w:lineRule="exact"/>
      <w:outlineLvl w:val="1"/>
    </w:pPr>
    <w:rPr>
      <w:rFonts w:ascii="Cambria" w:hAnsi="Cambria" w:eastAsia="楷体_GB2312"/>
      <w:bCs/>
      <w:sz w:val="32"/>
      <w:szCs w:val="32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Calibri" w:hAnsi="Calibri" w:eastAsia="宋体" w:cs="Times New Roman"/>
      <w:szCs w:val="22"/>
    </w:rPr>
  </w:style>
  <w:style w:type="paragraph" w:styleId="5">
    <w:name w:val="caption"/>
    <w:basedOn w:val="1"/>
    <w:next w:val="1"/>
    <w:qFormat/>
    <w:uiPriority w:val="0"/>
    <w:rPr>
      <w:rFonts w:ascii="等线 Light" w:hAnsi="等线 Light" w:eastAsia="黑体" w:cs="Times New Roman"/>
      <w:sz w:val="20"/>
      <w:szCs w:val="20"/>
    </w:rPr>
  </w:style>
  <w:style w:type="paragraph" w:styleId="6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Title"/>
    <w:basedOn w:val="1"/>
    <w:next w:val="1"/>
    <w:qFormat/>
    <w:uiPriority w:val="0"/>
    <w:pPr>
      <w:ind w:firstLine="0" w:firstLineChars="0"/>
      <w:jc w:val="center"/>
      <w:outlineLvl w:val="0"/>
    </w:pPr>
    <w:rPr>
      <w:rFonts w:ascii="等线 Light" w:hAnsi="等线 Light" w:eastAsia="黑体"/>
      <w:bCs/>
      <w:sz w:val="36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2021-12-02T07:00:00Z</dcterms:created>
  <dc:creator>อยู่ชายเล็ก</dc:creator>
  <cp:lastModifiedBy>อยู่ชายเล็ก</cp:lastModifiedBy>
  <dcterms:modified xsi:type="dcterms:W3CDTF">2021-12-02T07:01:20Z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51348C9DF6414EF18BA51D0D9CAA3105</vt:lpwstr>
  </property>
</Properties>
</file>