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ascii="Times New Roman" w:hAnsi="Times New Roman"/>
        </w:rPr>
      </w:pPr>
      <w:bookmarkStart w:id="0" w:name="_Toc77843935"/>
      <w:bookmarkStart w:id="1" w:name="_Toc85459379"/>
      <w:bookmarkStart w:id="2" w:name="_Toc87546056"/>
      <w:r>
        <w:rPr>
          <w:rFonts w:ascii="Times New Roman" w:hAnsi="Times New Roman"/>
        </w:rPr>
        <w:t>第三章</w:t>
      </w:r>
      <w:bookmarkEnd w:id="0"/>
      <w:bookmarkEnd w:id="1"/>
      <w:r>
        <w:rPr>
          <w:rFonts w:hint="eastAsia" w:ascii="Times New Roman" w:hAnsi="Times New Roman"/>
        </w:rPr>
        <w:t xml:space="preserve"> 加快推动绿色低碳发展</w:t>
      </w:r>
      <w:bookmarkEnd w:id="2"/>
    </w:p>
    <w:p>
      <w:pPr>
        <w:ind w:firstLine="640"/>
        <w:rPr>
          <w:rFonts w:hint="eastAsia"/>
        </w:rPr>
      </w:pPr>
    </w:p>
    <w:p>
      <w:pPr>
        <w:ind w:firstLine="640"/>
      </w:pPr>
      <w:r>
        <w:t>以绿色发展理念为指导，按照</w:t>
      </w:r>
      <w:r>
        <w:rPr>
          <w:rFonts w:hint="eastAsia"/>
        </w:rPr>
        <w:t>市级碳达峰、碳中和工作部署</w:t>
      </w:r>
      <w:r>
        <w:t>，结合大兴区二氧化碳排放</w:t>
      </w:r>
      <w:r>
        <w:rPr>
          <w:rFonts w:hint="eastAsia"/>
        </w:rPr>
        <w:t>实际</w:t>
      </w:r>
      <w:r>
        <w:t>，推进能源、建筑、农业、交通、生活等重点领域的节能减排，</w:t>
      </w:r>
      <w:r>
        <w:rPr>
          <w:rFonts w:hint="eastAsia"/>
        </w:rPr>
        <w:t>促进大兴区经济社会发展全面绿色转型。</w:t>
      </w:r>
    </w:p>
    <w:p>
      <w:pPr>
        <w:pStyle w:val="3"/>
        <w:ind w:firstLine="640"/>
      </w:pPr>
      <w:bookmarkStart w:id="3" w:name="_Toc85459380"/>
      <w:bookmarkStart w:id="4" w:name="_Toc87546057"/>
      <w:r>
        <w:rPr>
          <w:rFonts w:hint="eastAsia"/>
        </w:rPr>
        <w:t>一、</w:t>
      </w:r>
      <w:r>
        <w:t>推动产业绿色</w:t>
      </w:r>
      <w:r>
        <w:rPr>
          <w:rFonts w:hint="eastAsia"/>
        </w:rPr>
        <w:t>低碳</w:t>
      </w:r>
      <w:r>
        <w:t>发展</w:t>
      </w:r>
      <w:bookmarkEnd w:id="3"/>
      <w:bookmarkEnd w:id="4"/>
    </w:p>
    <w:p>
      <w:pPr>
        <w:pStyle w:val="4"/>
        <w:ind w:firstLine="640"/>
        <w:rPr>
          <w:rFonts w:hint="eastAsia"/>
        </w:rPr>
      </w:pPr>
      <w:bookmarkStart w:id="5" w:name="_Toc85459983"/>
      <w:bookmarkStart w:id="6" w:name="_Toc85459381"/>
      <w:bookmarkStart w:id="7" w:name="_Toc85642610"/>
      <w:bookmarkStart w:id="8" w:name="_Toc87546058"/>
      <w:bookmarkStart w:id="9" w:name="_Toc87268294"/>
      <w:bookmarkStart w:id="10" w:name="_Toc87519660"/>
      <w:r>
        <w:rPr>
          <w:rFonts w:hint="eastAsia"/>
        </w:rPr>
        <w:t>（一）加快</w:t>
      </w:r>
      <w:bookmarkEnd w:id="5"/>
      <w:bookmarkEnd w:id="6"/>
      <w:r>
        <w:rPr>
          <w:rFonts w:hint="eastAsia"/>
        </w:rPr>
        <w:t>推进产业绿色升级改造</w:t>
      </w:r>
      <w:bookmarkEnd w:id="7"/>
      <w:bookmarkEnd w:id="8"/>
      <w:bookmarkEnd w:id="9"/>
      <w:bookmarkEnd w:id="10"/>
    </w:p>
    <w:p>
      <w:pPr>
        <w:ind w:firstLine="640"/>
      </w:pPr>
      <w:r>
        <w:rPr>
          <w:rFonts w:hint="eastAsia"/>
        </w:rPr>
        <w:t>鼓励绿色发展水平先进的企业积极申报绿色制造示范单位。制定生物医药、电子设备等重点行业绿色提升计划，支持市级工业园区实施绿色低碳循环改造。开展重点行业企业强制性清洁生产审核，</w:t>
      </w:r>
      <w:r>
        <w:t>支持实施一批生态环境和社会效益明显、具有示范意义的节能技改项目，推广能源高效利用、污染减量化、废弃物资源化利用和无害化处理等工艺技术。建立企业废物循环利用体系，鼓励企业应用环保关键技术、核心工艺和重大设备，促进固体废弃物零排放或低排放。</w:t>
      </w:r>
    </w:p>
    <w:p>
      <w:pPr>
        <w:pStyle w:val="4"/>
        <w:ind w:firstLine="640"/>
      </w:pPr>
      <w:bookmarkStart w:id="11" w:name="_Toc85459984"/>
      <w:bookmarkStart w:id="12" w:name="_Toc85642611"/>
      <w:bookmarkStart w:id="13" w:name="_Toc87268295"/>
      <w:bookmarkStart w:id="14" w:name="_Toc87546059"/>
      <w:bookmarkStart w:id="15" w:name="_Toc87519661"/>
      <w:bookmarkStart w:id="16" w:name="_Toc85459382"/>
      <w:r>
        <w:rPr>
          <w:rFonts w:hint="eastAsia"/>
        </w:rPr>
        <w:t>（二）</w:t>
      </w:r>
      <w:r>
        <w:t>持续</w:t>
      </w:r>
      <w:r>
        <w:rPr>
          <w:rFonts w:hint="eastAsia"/>
        </w:rPr>
        <w:t>推进</w:t>
      </w:r>
      <w:r>
        <w:t>产业结构</w:t>
      </w:r>
      <w:r>
        <w:rPr>
          <w:rFonts w:hint="eastAsia"/>
        </w:rPr>
        <w:t>深度</w:t>
      </w:r>
      <w:r>
        <w:t>优化</w:t>
      </w:r>
      <w:bookmarkEnd w:id="11"/>
      <w:bookmarkEnd w:id="12"/>
      <w:bookmarkEnd w:id="13"/>
      <w:bookmarkEnd w:id="14"/>
      <w:bookmarkEnd w:id="15"/>
      <w:bookmarkEnd w:id="16"/>
    </w:p>
    <w:p>
      <w:pPr>
        <w:ind w:firstLine="640"/>
        <w:rPr>
          <w:rFonts w:hint="eastAsia" w:ascii="仿宋_GB2312"/>
        </w:rPr>
      </w:pPr>
      <w:r>
        <w:rPr>
          <w:rFonts w:hint="eastAsia" w:ascii="仿宋_GB2312"/>
        </w:rPr>
        <w:t>严格执行北京市最新新增产业禁限目录和工业污染行业、生产工艺调整退出及设备淘汰目录。大力发展高精尖产业体系，优先考虑项目是否符合科技含量高、资源消耗低、污染排放少的“高精尖”要求。构建以医药健康为核心产业，以新一代信息技术、智能装备等高端制造为潜导产业，以科技服务、航空服务、金融服务、商务服务等为支撑的现代产业体系。借助北京大兴国际机场临空经济区（北京部分）、中关村大兴园等重点功能区建设，推动全区产业集约高效发展。</w:t>
      </w:r>
    </w:p>
    <w:p>
      <w:pPr>
        <w:pStyle w:val="3"/>
        <w:ind w:firstLine="640"/>
      </w:pPr>
      <w:bookmarkStart w:id="17" w:name="_Toc87546060"/>
      <w:r>
        <w:rPr>
          <w:rFonts w:hint="eastAsia"/>
        </w:rPr>
        <w:t>二、推进</w:t>
      </w:r>
      <w:r>
        <w:t>绿色</w:t>
      </w:r>
      <w:r>
        <w:rPr>
          <w:rFonts w:hint="eastAsia"/>
        </w:rPr>
        <w:t>低碳</w:t>
      </w:r>
      <w:r>
        <w:t>能源</w:t>
      </w:r>
      <w:r>
        <w:rPr>
          <w:rFonts w:hint="eastAsia"/>
        </w:rPr>
        <w:t>转型</w:t>
      </w:r>
      <w:bookmarkEnd w:id="17"/>
    </w:p>
    <w:p>
      <w:pPr>
        <w:pStyle w:val="4"/>
        <w:ind w:firstLine="640"/>
      </w:pPr>
      <w:bookmarkStart w:id="18" w:name="_Toc85642613"/>
      <w:bookmarkStart w:id="19" w:name="_Toc87268297"/>
      <w:bookmarkStart w:id="20" w:name="_Toc87546061"/>
      <w:bookmarkStart w:id="21" w:name="_Toc87519663"/>
      <w:r>
        <w:rPr>
          <w:rFonts w:hint="eastAsia"/>
        </w:rPr>
        <w:t>（一）持续优化调整能源结构</w:t>
      </w:r>
      <w:bookmarkEnd w:id="18"/>
      <w:bookmarkEnd w:id="19"/>
      <w:bookmarkEnd w:id="20"/>
      <w:bookmarkEnd w:id="21"/>
    </w:p>
    <w:p>
      <w:pPr>
        <w:ind w:firstLine="640"/>
        <w:rPr>
          <w:rFonts w:hint="eastAsia" w:ascii="仿宋_GB2312"/>
        </w:rPr>
      </w:pPr>
      <w:r>
        <w:rPr>
          <w:rFonts w:hint="eastAsia" w:ascii="仿宋_GB2312"/>
        </w:rPr>
        <w:t>实施能源消费总量和能耗强度“双控”，深入推进节能降耗，控制化石能源消费总量，加大可再生能源开发利用力度，构建以电力和天然气为主，新能源和可再生能源为辅的绿色能源体系。坚持节约优先，围绕建筑、工业、公共机构等重点耗能领域，强化指标约束、全生命周期和全运行过程节约管理，有效提升能源智能高效利用水平。到2025年，单位地区生产总值能耗降幅达到市级要求。</w:t>
      </w:r>
    </w:p>
    <w:p>
      <w:pPr>
        <w:pStyle w:val="4"/>
        <w:ind w:firstLine="640"/>
      </w:pPr>
      <w:bookmarkStart w:id="22" w:name="_Toc85642614"/>
      <w:bookmarkStart w:id="23" w:name="_Toc87268298"/>
      <w:bookmarkStart w:id="24" w:name="_Toc87519664"/>
      <w:bookmarkStart w:id="25" w:name="_Toc87546062"/>
      <w:r>
        <w:rPr>
          <w:rFonts w:hint="eastAsia"/>
        </w:rPr>
        <w:t>（二）</w:t>
      </w:r>
      <w:r>
        <w:t>加快新能源和可再生能源开发利用</w:t>
      </w:r>
      <w:bookmarkEnd w:id="22"/>
      <w:bookmarkEnd w:id="23"/>
      <w:bookmarkEnd w:id="24"/>
      <w:bookmarkEnd w:id="25"/>
    </w:p>
    <w:p>
      <w:pPr>
        <w:ind w:firstLine="640"/>
        <w:rPr>
          <w:rFonts w:hint="eastAsia"/>
        </w:rPr>
      </w:pPr>
      <w:r>
        <w:t>积极开展全民绿能行动，新建区域、新建建筑优先使用新能源和可再生能源，推动既有能源系统改造，充分开发本地新能源资源。积极开展分布式光伏、氢能、地热等清洁能源示范应用。加快分布式光伏在全区各领域应用，大力推广太阳能热水系统在城市建筑及农村建筑的使用。以北京大兴国际机场临空经济区（北京部分）、大兴新城等为重点区域，大力推广热泵系统应用。建成生活垃圾焚烧发电工程。推动建设可再生能源示范村镇，因地制宜、集中示范，加强热泵系统、分布式光伏、太阳能热水系统等可再生能源在村镇地区的综合利用。</w:t>
      </w:r>
    </w:p>
    <w:p>
      <w:pPr>
        <w:pStyle w:val="4"/>
        <w:ind w:firstLine="640"/>
      </w:pPr>
      <w:bookmarkStart w:id="26" w:name="_Toc87519665"/>
      <w:bookmarkStart w:id="27" w:name="_Toc87546063"/>
      <w:bookmarkStart w:id="28" w:name="_Toc85642615"/>
      <w:bookmarkStart w:id="29" w:name="_Toc87268299"/>
      <w:r>
        <w:rPr>
          <w:rFonts w:hint="eastAsia"/>
        </w:rPr>
        <w:t>（三）控制化石能源消费总量</w:t>
      </w:r>
      <w:bookmarkEnd w:id="26"/>
      <w:bookmarkEnd w:id="27"/>
      <w:bookmarkEnd w:id="28"/>
      <w:bookmarkEnd w:id="29"/>
    </w:p>
    <w:p>
      <w:pPr>
        <w:ind w:firstLine="640"/>
        <w:rPr>
          <w:rFonts w:hint="eastAsia" w:ascii="仿宋_GB2312"/>
        </w:rPr>
      </w:pPr>
      <w:r>
        <w:rPr>
          <w:rFonts w:hint="eastAsia" w:ascii="仿宋_GB2312"/>
        </w:rPr>
        <w:t>严控化石能源消耗，科学规划大兴国际机场及临空经济区能源基础设施，加快天然气输送通道及设施建设。积极推动老旧燃气锅炉绿色化改造，严格控制新增独立燃气供热系统。推进燃油锅炉清洁能源改造，辖区内具备条件的燃油锅炉基本完成“油改电”等清洁能源替代。巩固“无煤化”成果，健全清洁取暖设备运维服务机制，防止散煤复烧。重点建设地热、太阳能与天燃气互为融合的区域能源系统。2025年大兴国际机场临空经济区可再生能源利用比重达到20%以上。落实区域能源低碳化，促进京津冀周边地区可再生能源协调发展，有序推进可再生能源跨省消纳。</w:t>
      </w:r>
    </w:p>
    <w:p>
      <w:pPr>
        <w:pStyle w:val="2"/>
        <w:ind w:firstLine="640"/>
      </w:pPr>
      <w:r>
        <mc:AlternateContent>
          <mc:Choice Requires="wps">
            <w:drawing>
              <wp:anchor distT="0" distB="0" distL="114300" distR="114300" simplePos="0" relativeHeight="251659264" behindDoc="0" locked="0" layoutInCell="1" allowOverlap="1">
                <wp:simplePos x="0" y="0"/>
                <wp:positionH relativeFrom="column">
                  <wp:posOffset>1905</wp:posOffset>
                </wp:positionH>
                <wp:positionV relativeFrom="paragraph">
                  <wp:posOffset>212725</wp:posOffset>
                </wp:positionV>
                <wp:extent cx="5262245" cy="2695575"/>
                <wp:effectExtent l="4445" t="4445" r="16510" b="5080"/>
                <wp:wrapNone/>
                <wp:docPr id="1" name="文本框 1"/>
                <wp:cNvGraphicFramePr/>
                <a:graphic xmlns:a="http://schemas.openxmlformats.org/drawingml/2006/main">
                  <a:graphicData uri="http://schemas.microsoft.com/office/word/2010/wordprocessingShape">
                    <wps:wsp>
                      <wps:cNvSpPr txBox="1"/>
                      <wps:spPr>
                        <a:xfrm>
                          <a:off x="0" y="0"/>
                          <a:ext cx="5262245" cy="26955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60" w:lineRule="auto"/>
                              <w:ind w:firstLine="0" w:firstLineChars="0"/>
                              <w:jc w:val="center"/>
                              <w:rPr>
                                <w:rFonts w:ascii="黑体" w:hAnsi="黑体" w:eastAsia="黑体"/>
                                <w:bCs/>
                                <w:sz w:val="28"/>
                                <w:szCs w:val="28"/>
                              </w:rPr>
                            </w:pPr>
                            <w:r>
                              <w:rPr>
                                <w:rFonts w:hint="eastAsia" w:ascii="黑体" w:hAnsi="黑体" w:eastAsia="黑体"/>
                                <w:bCs/>
                                <w:sz w:val="28"/>
                                <w:szCs w:val="28"/>
                              </w:rPr>
                              <w:t>专栏</w:t>
                            </w:r>
                            <w:r>
                              <w:rPr>
                                <w:rFonts w:ascii="黑体" w:hAnsi="黑体" w:eastAsia="黑体"/>
                                <w:bCs/>
                                <w:sz w:val="28"/>
                                <w:szCs w:val="28"/>
                              </w:rPr>
                              <w:t xml:space="preserve">1 </w:t>
                            </w:r>
                            <w:r>
                              <w:rPr>
                                <w:rFonts w:hint="eastAsia" w:ascii="黑体" w:hAnsi="黑体" w:eastAsia="黑体"/>
                                <w:bCs/>
                                <w:sz w:val="28"/>
                                <w:szCs w:val="28"/>
                              </w:rPr>
                              <w:t>着力打造大兴国际机场临空经济区绿色能源示范区</w:t>
                            </w:r>
                          </w:p>
                          <w:p>
                            <w:pPr>
                              <w:ind w:firstLine="560"/>
                              <w:rPr>
                                <w:rFonts w:hint="eastAsia" w:ascii="楷体" w:hAnsi="楷体" w:eastAsia="楷体"/>
                                <w:sz w:val="28"/>
                                <w:szCs w:val="28"/>
                              </w:rPr>
                            </w:pPr>
                            <w:r>
                              <w:rPr>
                                <w:rFonts w:hint="eastAsia" w:ascii="楷体" w:hAnsi="楷体" w:eastAsia="楷体"/>
                                <w:sz w:val="28"/>
                                <w:szCs w:val="28"/>
                              </w:rPr>
                              <w:t>将北京大兴国际机场临空经济区打造成“绿色低碳、安全可靠、协同共享、智慧友好”的国际一流综合能源服务示范区，加大新能源和可再生能源应用，建设能源互联网，构建以电力、天然气、地热能、太阳能等多能互补、有机衔接的绿色低碳高效智能的能源体系。借助北京大兴国际机场和京东“亚洲一号”物流基地等，探索推进燃料电池汽车在机场巴士、城市物流、公交等领域的应用。</w:t>
                            </w:r>
                          </w:p>
                        </w:txbxContent>
                      </wps:txbx>
                      <wps:bodyPr upright="1"/>
                    </wps:wsp>
                  </a:graphicData>
                </a:graphic>
              </wp:anchor>
            </w:drawing>
          </mc:Choice>
          <mc:Fallback>
            <w:pict>
              <v:shape id="_x0000_s1026" o:spid="_x0000_s1026" o:spt="202" type="#_x0000_t202" style="position:absolute;left:0pt;margin-left:0.15pt;margin-top:16.75pt;height:212.25pt;width:414.35pt;z-index:251659264;mso-width-relative:margin;mso-height-relative:margin;" fillcolor="#FFFFFF" filled="t" stroked="t" coordsize="21600,21600" o:gfxdata="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iiQSWtgAAAAHAQAADwAAAAAAAAABACAAAAAi&#10;AAAAZHJzL2Rvd25yZXYueG1sUEsBAhQAFAAAAAgAh07iQPkDkBoKAgAANwQAAA4AAAAAAAAAAQAg&#10;AAAAJwEAAGRycy9lMm9Eb2MueG1sUEsFBgAAAAAGAAYAWQEAAKMFAAAAAA==&#10;">
                <v:path/>
                <v:fill on="t" focussize="0,0"/>
                <v:stroke/>
                <v:imagedata o:title=""/>
                <o:lock v:ext="edit" grouping="f" rotation="f" text="f" aspectratio="f"/>
                <v:textbox>
                  <w:txbxContent>
                    <w:p>
                      <w:pPr>
                        <w:spacing w:line="360" w:lineRule="auto"/>
                        <w:ind w:firstLine="0" w:firstLineChars="0"/>
                        <w:jc w:val="center"/>
                        <w:rPr>
                          <w:rFonts w:ascii="黑体" w:hAnsi="黑体" w:eastAsia="黑体"/>
                          <w:bCs/>
                          <w:sz w:val="28"/>
                          <w:szCs w:val="28"/>
                        </w:rPr>
                      </w:pPr>
                      <w:r>
                        <w:rPr>
                          <w:rFonts w:hint="eastAsia" w:ascii="黑体" w:hAnsi="黑体" w:eastAsia="黑体"/>
                          <w:bCs/>
                          <w:sz w:val="28"/>
                          <w:szCs w:val="28"/>
                        </w:rPr>
                        <w:t>专栏</w:t>
                      </w:r>
                      <w:r>
                        <w:rPr>
                          <w:rFonts w:ascii="黑体" w:hAnsi="黑体" w:eastAsia="黑体"/>
                          <w:bCs/>
                          <w:sz w:val="28"/>
                          <w:szCs w:val="28"/>
                        </w:rPr>
                        <w:t xml:space="preserve">1 </w:t>
                      </w:r>
                      <w:r>
                        <w:rPr>
                          <w:rFonts w:hint="eastAsia" w:ascii="黑体" w:hAnsi="黑体" w:eastAsia="黑体"/>
                          <w:bCs/>
                          <w:sz w:val="28"/>
                          <w:szCs w:val="28"/>
                        </w:rPr>
                        <w:t>着力打造大兴国际机场临空经济区绿色能源示范区</w:t>
                      </w:r>
                    </w:p>
                    <w:p>
                      <w:pPr>
                        <w:ind w:firstLine="560"/>
                        <w:rPr>
                          <w:rFonts w:hint="eastAsia" w:ascii="楷体" w:hAnsi="楷体" w:eastAsia="楷体"/>
                          <w:sz w:val="28"/>
                          <w:szCs w:val="28"/>
                        </w:rPr>
                      </w:pPr>
                      <w:r>
                        <w:rPr>
                          <w:rFonts w:hint="eastAsia" w:ascii="楷体" w:hAnsi="楷体" w:eastAsia="楷体"/>
                          <w:sz w:val="28"/>
                          <w:szCs w:val="28"/>
                        </w:rPr>
                        <w:t>将北京大兴国际机场临空经济区打造成“绿色低碳、安全可靠、协同共享、智慧友好”的国际一流综合能源服务示范区，加大新能源和可再生能源应用，建设能源互联网，构建以电力、天然气、地热能、太阳能等多能互补、有机衔接的绿色低碳高效智能的能源体系。借助北京大兴国际机场和京东“亚洲一号”物流基地等，探索推进燃料电池汽车在机场巴士、城市物流、公交等领域的应用。</w:t>
                      </w:r>
                    </w:p>
                  </w:txbxContent>
                </v:textbox>
              </v:shape>
            </w:pict>
          </mc:Fallback>
        </mc:AlternateContent>
      </w:r>
    </w:p>
    <w:p>
      <w:pPr>
        <w:pStyle w:val="2"/>
        <w:ind w:firstLine="640"/>
      </w:pPr>
    </w:p>
    <w:p>
      <w:pPr>
        <w:pStyle w:val="2"/>
        <w:ind w:firstLine="640"/>
      </w:pPr>
    </w:p>
    <w:p>
      <w:pPr>
        <w:pStyle w:val="2"/>
        <w:ind w:firstLine="640"/>
      </w:pPr>
    </w:p>
    <w:p>
      <w:pPr>
        <w:pStyle w:val="2"/>
        <w:ind w:firstLine="640"/>
      </w:pPr>
    </w:p>
    <w:p>
      <w:pPr>
        <w:pStyle w:val="2"/>
        <w:ind w:firstLine="640"/>
      </w:pPr>
    </w:p>
    <w:p>
      <w:pPr>
        <w:pStyle w:val="2"/>
        <w:ind w:firstLine="640"/>
      </w:pPr>
    </w:p>
    <w:p>
      <w:pPr>
        <w:pStyle w:val="2"/>
        <w:ind w:firstLine="640"/>
      </w:pPr>
    </w:p>
    <w:p>
      <w:pPr>
        <w:pStyle w:val="2"/>
        <w:ind w:firstLine="640"/>
        <w:rPr>
          <w:rFonts w:hint="eastAsia"/>
        </w:rPr>
      </w:pPr>
    </w:p>
    <w:p>
      <w:pPr>
        <w:pStyle w:val="3"/>
        <w:ind w:firstLine="640"/>
      </w:pPr>
      <w:bookmarkStart w:id="30" w:name="_Toc85459383"/>
      <w:bookmarkStart w:id="31" w:name="_Toc87546064"/>
      <w:r>
        <w:rPr>
          <w:rFonts w:hint="eastAsia"/>
        </w:rPr>
        <w:t>三、</w:t>
      </w:r>
      <w:r>
        <w:t>加强重点领域低碳排放</w:t>
      </w:r>
      <w:bookmarkEnd w:id="30"/>
      <w:bookmarkEnd w:id="31"/>
    </w:p>
    <w:p>
      <w:pPr>
        <w:pStyle w:val="4"/>
        <w:ind w:firstLine="640"/>
      </w:pPr>
      <w:bookmarkStart w:id="32" w:name="_Toc85459987"/>
      <w:bookmarkStart w:id="33" w:name="_Toc85459385"/>
      <w:bookmarkStart w:id="34" w:name="_Toc85642617"/>
      <w:bookmarkStart w:id="35" w:name="_Toc87268301"/>
      <w:bookmarkStart w:id="36" w:name="_Toc87546065"/>
      <w:bookmarkStart w:id="37" w:name="_Toc87519667"/>
      <w:r>
        <w:rPr>
          <w:rFonts w:hint="eastAsia"/>
        </w:rPr>
        <w:t>（一）推动</w:t>
      </w:r>
      <w:bookmarkEnd w:id="32"/>
      <w:bookmarkEnd w:id="33"/>
      <w:r>
        <w:rPr>
          <w:rFonts w:hint="eastAsia"/>
        </w:rPr>
        <w:t>建筑绿色低碳运行</w:t>
      </w:r>
      <w:bookmarkEnd w:id="34"/>
      <w:bookmarkEnd w:id="35"/>
      <w:bookmarkEnd w:id="36"/>
      <w:bookmarkEnd w:id="37"/>
    </w:p>
    <w:p>
      <w:pPr>
        <w:ind w:firstLine="640"/>
        <w:rPr>
          <w:rFonts w:hint="eastAsia"/>
        </w:rPr>
      </w:pPr>
      <w:r>
        <w:rPr>
          <w:rFonts w:hint="eastAsia" w:ascii="仿宋_GB2312"/>
          <w:szCs w:val="32"/>
        </w:rPr>
        <w:t>实现民用建筑能耗强度及碳排放强度双降。大力发展绿色建筑，新建建筑全面落实节能设计标准，新建政府投资的公益性建筑及大型公共建筑全面执行绿色建筑二星级及以上标准。积极推广超低能耗或零能耗建筑，开展近零能耗建筑试点示范，不断提高新建建筑能效水平。推进既有建筑能效提升，推进城镇老旧小区改造，推进公共建筑节能绿色化改造。</w:t>
      </w:r>
    </w:p>
    <w:p>
      <w:pPr>
        <w:pStyle w:val="4"/>
        <w:ind w:firstLine="640"/>
      </w:pPr>
      <w:bookmarkStart w:id="38" w:name="_Toc87546066"/>
      <w:bookmarkStart w:id="39" w:name="_Toc87519668"/>
      <w:bookmarkStart w:id="40" w:name="_Toc85642618"/>
      <w:bookmarkStart w:id="41" w:name="_Toc85459386"/>
      <w:bookmarkStart w:id="42" w:name="_Toc85459988"/>
      <w:bookmarkStart w:id="43" w:name="_Toc87268302"/>
      <w:r>
        <w:rPr>
          <w:rFonts w:hint="eastAsia"/>
        </w:rPr>
        <w:t>（二）</w:t>
      </w:r>
      <w:r>
        <w:t>倡导绿色低碳生活方式</w:t>
      </w:r>
      <w:bookmarkEnd w:id="38"/>
      <w:bookmarkEnd w:id="39"/>
      <w:bookmarkEnd w:id="40"/>
      <w:bookmarkEnd w:id="41"/>
      <w:bookmarkEnd w:id="42"/>
      <w:bookmarkEnd w:id="43"/>
    </w:p>
    <w:p>
      <w:pPr>
        <w:ind w:firstLine="640"/>
        <w:rPr>
          <w:rFonts w:hint="eastAsia" w:ascii="仿宋_GB2312"/>
        </w:rPr>
      </w:pPr>
      <w:r>
        <w:rPr>
          <w:rFonts w:hint="eastAsia" w:ascii="仿宋_GB2312"/>
        </w:rPr>
        <w:t>推进持续开展“绿色低碳，全面小康”等低碳主题日活动，普及绿色低碳发展理念，提升公众低碳意识与理念，让低碳交通、绿色出行、网络办公、节能环保等成为未来生活工作新常态。</w:t>
      </w:r>
    </w:p>
    <w:p>
      <w:pPr>
        <w:pStyle w:val="4"/>
        <w:ind w:firstLine="640"/>
        <w:rPr>
          <w:rFonts w:hint="eastAsia"/>
        </w:rPr>
      </w:pPr>
      <w:bookmarkStart w:id="44" w:name="_Toc87519669"/>
      <w:bookmarkStart w:id="45" w:name="_Toc85642619"/>
      <w:bookmarkStart w:id="46" w:name="_Toc87546067"/>
      <w:bookmarkStart w:id="47" w:name="_Toc87268303"/>
      <w:r>
        <w:rPr>
          <w:rFonts w:hint="eastAsia"/>
        </w:rPr>
        <w:t>（三）增加碳汇和控制其他温室排放</w:t>
      </w:r>
      <w:bookmarkEnd w:id="44"/>
      <w:bookmarkEnd w:id="45"/>
      <w:bookmarkEnd w:id="46"/>
      <w:bookmarkEnd w:id="47"/>
    </w:p>
    <w:p>
      <w:pPr>
        <w:ind w:firstLine="640"/>
      </w:pPr>
      <w:r>
        <w:rPr>
          <w:rFonts w:hint="eastAsia"/>
        </w:rPr>
        <w:t>精准提升森林质量</w:t>
      </w:r>
      <w:r>
        <w:t>，持续增加森林碳汇储备。</w:t>
      </w:r>
      <w:r>
        <w:rPr>
          <w:rFonts w:hint="eastAsia"/>
        </w:rPr>
        <w:t>增加土壤有机肥储量，提升农田土壤碳汇能力。加强湿地修复，扩大湿地面积，逐步增强湿地储碳能力。加强</w:t>
      </w:r>
      <w:r>
        <w:t>废弃物处理，垃圾减量和循环利用，发展低碳农业，减少甲烷排放。</w:t>
      </w:r>
    </w:p>
    <w:p>
      <w:pPr>
        <w:pStyle w:val="3"/>
        <w:ind w:firstLine="640"/>
      </w:pPr>
      <w:bookmarkStart w:id="48" w:name="_Toc87546068"/>
      <w:bookmarkStart w:id="49" w:name="_Toc85459391"/>
      <w:r>
        <w:rPr>
          <w:rFonts w:hint="eastAsia"/>
        </w:rPr>
        <w:t>四、</w:t>
      </w:r>
      <w:r>
        <w:t>促进低碳创新发展</w:t>
      </w:r>
      <w:bookmarkEnd w:id="48"/>
      <w:bookmarkEnd w:id="49"/>
    </w:p>
    <w:p>
      <w:pPr>
        <w:pStyle w:val="4"/>
        <w:ind w:firstLine="640"/>
      </w:pPr>
      <w:bookmarkStart w:id="50" w:name="_Toc85459392"/>
      <w:bookmarkStart w:id="51" w:name="_Toc85459994"/>
      <w:bookmarkStart w:id="52" w:name="_Toc87519671"/>
      <w:bookmarkStart w:id="53" w:name="_Toc87546069"/>
      <w:bookmarkStart w:id="54" w:name="_Toc85642621"/>
      <w:bookmarkStart w:id="55" w:name="_Toc87268305"/>
      <w:r>
        <w:rPr>
          <w:rFonts w:hint="eastAsia"/>
        </w:rPr>
        <w:t>（一）开展</w:t>
      </w:r>
      <w:bookmarkEnd w:id="50"/>
      <w:bookmarkEnd w:id="51"/>
      <w:r>
        <w:rPr>
          <w:rFonts w:hint="eastAsia"/>
        </w:rPr>
        <w:t>低碳发展研究</w:t>
      </w:r>
      <w:bookmarkEnd w:id="52"/>
      <w:bookmarkEnd w:id="53"/>
      <w:bookmarkEnd w:id="54"/>
      <w:bookmarkEnd w:id="55"/>
    </w:p>
    <w:p>
      <w:pPr>
        <w:ind w:firstLine="640"/>
        <w:rPr>
          <w:rFonts w:ascii="仿宋_GB2312"/>
        </w:rPr>
      </w:pPr>
      <w:r>
        <w:t>完善大兴区温室气体排放基础信息。</w:t>
      </w:r>
      <w:r>
        <w:rPr>
          <w:rFonts w:hint="eastAsia" w:ascii="仿宋_GB2312"/>
        </w:rPr>
        <w:t>按照《IPCC2006国家温室气体清单指南》等相关文件要求，开展能源、工业、农业、林业、土地利用和废弃物处理领域的温室气体基础排放数据统计和调查，为大兴区温室气体排放清单编制和排放核算提供支撑。</w:t>
      </w:r>
    </w:p>
    <w:p>
      <w:pPr>
        <w:ind w:firstLine="640"/>
        <w:rPr>
          <w:rFonts w:hint="eastAsia" w:ascii="仿宋_GB2312"/>
        </w:rPr>
      </w:pPr>
      <w:r>
        <w:rPr>
          <w:rFonts w:hint="eastAsia" w:ascii="仿宋_GB2312"/>
          <w:bCs/>
        </w:rPr>
        <w:t>评估碳汇项目减排现状及潜能。</w:t>
      </w:r>
      <w:r>
        <w:rPr>
          <w:rFonts w:hint="eastAsia" w:ascii="仿宋_GB2312"/>
        </w:rPr>
        <w:t>以现有平原造林增加的碳汇储量为基准，以进一步增加碳汇储量、减少排放量为目标，拟定造林项目经营方案；发展都市型生态农业，推广农业生产低碳设施设备、开展农业废弃物资源化利用，提升农业减源增汇能力。</w:t>
      </w:r>
    </w:p>
    <w:p>
      <w:pPr>
        <w:ind w:firstLine="640"/>
      </w:pPr>
      <w:r>
        <w:t>探究实现碳排放达峰的发展路径。回顾大兴区重点行业碳排放历史规律，明确重点行业碳排放达峰目标路线图，行动方案和配套措施。突出气候变化问题的自身特点，结合大兴区域发展实际，自发探索区域特色的低碳经验和做法，制定碳排放达峰目标及实施路径。</w:t>
      </w:r>
    </w:p>
    <w:p>
      <w:pPr>
        <w:ind w:firstLine="640"/>
      </w:pPr>
      <w:r>
        <w:t>强化碳排放单位达标及年度履约管理。以碳排放总量和强度为管控指标，促进碳排放精细化管理，强化重点碳排放单位年度履约业务培训，提升业务主管部门监管能力。</w:t>
      </w:r>
    </w:p>
    <w:p>
      <w:pPr>
        <w:pStyle w:val="4"/>
        <w:ind w:firstLine="640"/>
      </w:pPr>
      <w:bookmarkStart w:id="56" w:name="_Toc85459995"/>
      <w:bookmarkStart w:id="57" w:name="_Toc85459393"/>
      <w:bookmarkStart w:id="58" w:name="_Toc87268306"/>
      <w:bookmarkStart w:id="59" w:name="_Toc87519672"/>
      <w:bookmarkStart w:id="60" w:name="_Toc87546070"/>
      <w:bookmarkStart w:id="61" w:name="_Toc85642622"/>
      <w:r>
        <w:rPr>
          <w:rFonts w:hint="eastAsia"/>
        </w:rPr>
        <w:t>（二）推动低碳</w:t>
      </w:r>
      <w:r>
        <w:t>试点</w:t>
      </w:r>
      <w:bookmarkEnd w:id="56"/>
      <w:bookmarkEnd w:id="57"/>
      <w:r>
        <w:rPr>
          <w:rFonts w:hint="eastAsia"/>
        </w:rPr>
        <w:t>示范</w:t>
      </w:r>
      <w:bookmarkEnd w:id="58"/>
      <w:bookmarkEnd w:id="59"/>
      <w:bookmarkEnd w:id="60"/>
      <w:bookmarkEnd w:id="61"/>
    </w:p>
    <w:p>
      <w:pPr>
        <w:ind w:firstLine="640"/>
        <w:rPr>
          <w:rFonts w:hint="eastAsia"/>
        </w:rPr>
      </w:pPr>
      <w:r>
        <w:rPr>
          <w:rFonts w:hint="eastAsia"/>
        </w:rPr>
        <w:t>率先推进大兴国际机场临空经济区碳中和</w:t>
      </w:r>
      <w:r>
        <w:t>。</w:t>
      </w:r>
      <w:r>
        <w:rPr>
          <w:rFonts w:hint="eastAsia"/>
        </w:rPr>
        <w:t>编制临空区碳达峰碳中和行动方案，在科学预测临空区碳排放趋势、识别重点排放领域和排放源的基础上，研判临空区峰值年、峰值目标及碳中和年，并进行目标和任务行业分解落实，研提实现达峰及中和目标的政策与行动路线图，并探索碳排放双控及项目碳排放评价等相关机制。</w:t>
      </w:r>
    </w:p>
    <w:p>
      <w:pPr>
        <w:ind w:firstLine="640"/>
        <w:rPr>
          <w:rFonts w:hint="eastAsia"/>
        </w:rPr>
        <w:sectPr>
          <w:pgSz w:w="11906" w:h="16838"/>
          <w:pgMar w:top="1440" w:right="1797" w:bottom="1440" w:left="1797" w:header="851" w:footer="992" w:gutter="0"/>
          <w:pgNumType w:fmt="numberInDash"/>
          <w:cols w:space="720" w:num="1"/>
          <w:docGrid w:type="lines" w:linePitch="312" w:charSpace="0"/>
        </w:sectPr>
      </w:pPr>
      <w:r>
        <w:t>创新低碳工业园区建设模式。支持重点行业争当低碳企业排头兵，对标国内国际先进碳排放等绿色指标，通过推进资源节约、清洁生产和循环经济，打造市级低碳示范项目，形成可复制推广经验。推进</w:t>
      </w:r>
      <w:r>
        <w:rPr>
          <w:rFonts w:hint="eastAsia"/>
        </w:rPr>
        <w:t>近零碳排放示范区建设</w:t>
      </w:r>
      <w:r>
        <w:t>。</w:t>
      </w:r>
      <w:r>
        <w:rPr>
          <w:rFonts w:hint="eastAsia"/>
        </w:rPr>
        <w:t>积极推进学校、产业园区、重点企业等开展低碳、碳中和试点，从规划设计和项目示范入手率先建设近零碳排放示范区。</w:t>
      </w:r>
      <w:bookmarkStart w:id="62" w:name="_GoBack"/>
      <w:bookmarkEnd w:id="62"/>
    </w:p>
    <w:p>
      <w:pPr>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6D3F2F"/>
    <w:rsid w:val="286D3F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0"/>
    <w:pPr>
      <w:keepNext/>
      <w:keepLines/>
      <w:outlineLvl w:val="0"/>
    </w:pPr>
    <w:rPr>
      <w:rFonts w:eastAsia="黑体"/>
      <w:bCs/>
      <w:kern w:val="44"/>
      <w:sz w:val="32"/>
      <w:szCs w:val="44"/>
    </w:rPr>
  </w:style>
  <w:style w:type="paragraph" w:styleId="4">
    <w:name w:val="heading 2"/>
    <w:basedOn w:val="1"/>
    <w:next w:val="1"/>
    <w:qFormat/>
    <w:uiPriority w:val="9"/>
    <w:pPr>
      <w:keepNext/>
      <w:keepLines/>
      <w:spacing w:line="560" w:lineRule="exact"/>
      <w:outlineLvl w:val="1"/>
    </w:pPr>
    <w:rPr>
      <w:rFonts w:ascii="Cambria" w:hAnsi="Cambria" w:eastAsia="楷体_GB2312"/>
      <w:bCs/>
      <w:sz w:val="32"/>
      <w:szCs w:val="32"/>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Calibri" w:hAnsi="Calibri" w:eastAsia="宋体" w:cs="Times New Roman"/>
      <w:szCs w:val="22"/>
    </w:rPr>
  </w:style>
  <w:style w:type="paragraph" w:styleId="5">
    <w:name w:val="Title"/>
    <w:basedOn w:val="1"/>
    <w:next w:val="1"/>
    <w:qFormat/>
    <w:uiPriority w:val="0"/>
    <w:pPr>
      <w:ind w:firstLine="0" w:firstLineChars="0"/>
      <w:jc w:val="center"/>
      <w:outlineLvl w:val="0"/>
    </w:pPr>
    <w:rPr>
      <w:rFonts w:ascii="等线 Light" w:hAnsi="等线 Light" w:eastAsia="黑体"/>
      <w:bCs/>
      <w:sz w:val="36"/>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2021-12-02T07:02:00Z</dcterms:created>
  <dc:creator>อยู่ชายเล็ก</dc:creator>
  <cp:lastModifiedBy>อยู่ชายเล็ก</cp:lastModifiedBy>
  <dcterms:modified xsi:type="dcterms:W3CDTF">2021-12-02T07:02:32Z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BD5C7CE79AE84ADC805EA1C3099887AC</vt:lpwstr>
  </property>
</Properties>
</file>