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pPr>
    </w:p>
    <w:p>
      <w:pPr>
        <w:pStyle w:val="12"/>
        <w:ind w:left="0" w:leftChars="0"/>
        <w:rPr>
          <w:rFonts w:ascii="宋体" w:hAnsi="宋体" w:cs="宋体"/>
          <w:b/>
          <w:bCs/>
          <w:sz w:val="48"/>
          <w:szCs w:val="48"/>
        </w:rPr>
      </w:pPr>
    </w:p>
    <w:p>
      <w:pPr>
        <w:jc w:val="center"/>
        <w:rPr>
          <w:rFonts w:ascii="黑体" w:hAnsi="黑体" w:eastAsia="黑体" w:cs="黑体"/>
          <w:b w:val="0"/>
          <w:bCs w:val="0"/>
          <w:sz w:val="52"/>
          <w:szCs w:val="52"/>
        </w:rPr>
      </w:pPr>
      <w:r>
        <w:rPr>
          <w:rFonts w:hint="eastAsia" w:ascii="黑体" w:hAnsi="黑体" w:eastAsia="黑体" w:cs="黑体"/>
          <w:b w:val="0"/>
          <w:bCs w:val="0"/>
          <w:sz w:val="52"/>
          <w:szCs w:val="52"/>
        </w:rPr>
        <w:t>大兴区“十四五”时期金融业</w:t>
      </w:r>
    </w:p>
    <w:p>
      <w:pPr>
        <w:jc w:val="center"/>
        <w:rPr>
          <w:rFonts w:ascii="黑体" w:hAnsi="黑体" w:eastAsia="黑体" w:cs="黑体"/>
          <w:b w:val="0"/>
          <w:bCs w:val="0"/>
          <w:sz w:val="52"/>
          <w:szCs w:val="52"/>
        </w:rPr>
      </w:pPr>
      <w:r>
        <w:rPr>
          <w:rFonts w:hint="eastAsia" w:ascii="黑体" w:hAnsi="黑体" w:eastAsia="黑体" w:cs="黑体"/>
          <w:b w:val="0"/>
          <w:bCs w:val="0"/>
          <w:sz w:val="52"/>
          <w:szCs w:val="52"/>
        </w:rPr>
        <w:t>发展规划</w:t>
      </w:r>
    </w:p>
    <w:p>
      <w:pPr>
        <w:rPr>
          <w:b/>
          <w:bCs/>
        </w:rPr>
      </w:pPr>
    </w:p>
    <w:p>
      <w:pPr>
        <w:rPr>
          <w:b/>
          <w:bCs/>
        </w:rPr>
      </w:pPr>
    </w:p>
    <w:p>
      <w:pPr>
        <w:rPr>
          <w:b/>
          <w:bCs/>
        </w:rPr>
      </w:pPr>
    </w:p>
    <w:p>
      <w:pPr>
        <w:rPr>
          <w:b/>
          <w:bCs/>
        </w:rPr>
      </w:pPr>
    </w:p>
    <w:p>
      <w:pPr>
        <w:rPr>
          <w:b/>
          <w:bCs/>
        </w:rPr>
      </w:pPr>
    </w:p>
    <w:p>
      <w:pPr>
        <w:rPr>
          <w:b/>
          <w:bCs/>
        </w:rPr>
      </w:pPr>
    </w:p>
    <w:p>
      <w:pPr>
        <w:rPr>
          <w:b/>
          <w:bCs/>
        </w:rPr>
      </w:pPr>
    </w:p>
    <w:p>
      <w:pPr>
        <w:pStyle w:val="12"/>
        <w:ind w:left="480"/>
        <w:rPr>
          <w:rFonts w:ascii="宋体" w:hAnsi="宋体" w:cs="宋体"/>
          <w:b/>
          <w:bCs/>
        </w:rPr>
      </w:pPr>
    </w:p>
    <w:p>
      <w:pPr>
        <w:pStyle w:val="12"/>
        <w:ind w:left="0" w:leftChars="0"/>
        <w:rPr>
          <w:rFonts w:ascii="宋体" w:hAnsi="宋体" w:cs="宋体"/>
          <w:b/>
          <w:bCs/>
        </w:rPr>
      </w:pPr>
    </w:p>
    <w:p>
      <w:pPr>
        <w:rPr>
          <w:b/>
          <w:bCs/>
        </w:rPr>
      </w:pPr>
    </w:p>
    <w:p>
      <w:pPr>
        <w:rPr>
          <w:color w:val="000000"/>
          <w:sz w:val="32"/>
          <w:szCs w:val="32"/>
        </w:rPr>
      </w:pPr>
    </w:p>
    <w:p>
      <w:pPr>
        <w:snapToGrid w:val="0"/>
        <w:spacing w:line="360" w:lineRule="auto"/>
        <w:contextualSpacing/>
        <w:jc w:val="center"/>
        <w:rPr>
          <w:rFonts w:ascii="Times New Roman" w:hAnsi="Times New Roman" w:eastAsia="黑体" w:cs="Times New Roman"/>
          <w:sz w:val="32"/>
          <w:szCs w:val="32"/>
        </w:rPr>
      </w:pPr>
    </w:p>
    <w:p>
      <w:pPr>
        <w:snapToGrid w:val="0"/>
        <w:spacing w:line="360" w:lineRule="auto"/>
        <w:contextualSpacing/>
        <w:jc w:val="center"/>
        <w:rPr>
          <w:rFonts w:ascii="Times New Roman" w:hAnsi="Times New Roman" w:eastAsia="黑体" w:cs="Times New Roman"/>
          <w:sz w:val="32"/>
          <w:szCs w:val="32"/>
        </w:rPr>
      </w:pPr>
    </w:p>
    <w:p>
      <w:pPr>
        <w:snapToGrid w:val="0"/>
        <w:spacing w:line="360" w:lineRule="auto"/>
        <w:contextualSpacing/>
        <w:jc w:val="center"/>
        <w:rPr>
          <w:rFonts w:ascii="Times New Roman" w:hAnsi="Times New Roman" w:eastAsia="黑体" w:cs="Times New Roman"/>
          <w:sz w:val="32"/>
          <w:szCs w:val="32"/>
        </w:rPr>
      </w:pPr>
    </w:p>
    <w:p>
      <w:pPr>
        <w:snapToGrid w:val="0"/>
        <w:spacing w:line="360" w:lineRule="auto"/>
        <w:contextualSpacing/>
        <w:jc w:val="center"/>
        <w:rPr>
          <w:rFonts w:ascii="Times New Roman" w:hAnsi="Times New Roman" w:eastAsia="黑体" w:cs="Times New Roman"/>
          <w:sz w:val="32"/>
          <w:szCs w:val="32"/>
        </w:rPr>
      </w:pPr>
    </w:p>
    <w:p>
      <w:pPr>
        <w:snapToGrid w:val="0"/>
        <w:spacing w:line="360" w:lineRule="auto"/>
        <w:contextualSpacing/>
        <w:jc w:val="center"/>
        <w:rPr>
          <w:rFonts w:ascii="Times New Roman" w:hAnsi="Times New Roman" w:eastAsia="黑体" w:cs="Times New Roman"/>
          <w:sz w:val="32"/>
          <w:szCs w:val="32"/>
        </w:rPr>
      </w:pPr>
    </w:p>
    <w:p>
      <w:pPr>
        <w:snapToGrid w:val="0"/>
        <w:spacing w:line="360" w:lineRule="auto"/>
        <w:contextualSpacing/>
        <w:jc w:val="center"/>
        <w:rPr>
          <w:rFonts w:ascii="Times New Roman" w:hAnsi="Times New Roman" w:eastAsia="黑体" w:cs="Times New Roman"/>
          <w:sz w:val="32"/>
          <w:szCs w:val="32"/>
        </w:rPr>
      </w:pPr>
    </w:p>
    <w:p>
      <w:pPr>
        <w:snapToGrid w:val="0"/>
        <w:spacing w:line="360" w:lineRule="auto"/>
        <w:contextualSpacing/>
        <w:jc w:val="center"/>
        <w:rPr>
          <w:rFonts w:ascii="Times New Roman" w:hAnsi="Times New Roman" w:eastAsia="黑体" w:cs="Times New Roman"/>
          <w:sz w:val="32"/>
          <w:szCs w:val="32"/>
        </w:rPr>
      </w:pPr>
      <w:r>
        <w:rPr>
          <w:rFonts w:ascii="Times New Roman" w:hAnsi="Times New Roman" w:eastAsia="黑体" w:cs="Times New Roman"/>
          <w:sz w:val="32"/>
          <w:szCs w:val="32"/>
        </w:rPr>
        <w:t>北京市大兴区</w:t>
      </w:r>
      <w:r>
        <w:rPr>
          <w:rFonts w:hint="eastAsia" w:ascii="Times New Roman" w:hAnsi="Times New Roman" w:eastAsia="黑体" w:cs="Times New Roman"/>
          <w:sz w:val="32"/>
          <w:szCs w:val="32"/>
          <w:lang w:eastAsia="zh-CN"/>
        </w:rPr>
        <w:t>金融服务办公室</w:t>
      </w:r>
    </w:p>
    <w:p>
      <w:pPr>
        <w:snapToGrid w:val="0"/>
        <w:spacing w:line="360" w:lineRule="auto"/>
        <w:contextualSpacing/>
        <w:jc w:val="center"/>
        <w:rPr>
          <w:rFonts w:hint="eastAsia" w:ascii="方正小标宋简体" w:hAnsi="方正小标宋简体" w:eastAsia="方正小标宋简体" w:cs="方正小标宋简体"/>
          <w:b w:val="0"/>
          <w:bCs w:val="0"/>
          <w:color w:val="000000"/>
          <w:sz w:val="36"/>
          <w:szCs w:val="36"/>
        </w:rPr>
      </w:pPr>
      <w:r>
        <w:rPr>
          <w:rFonts w:ascii="Times New Roman" w:hAnsi="Times New Roman" w:eastAsia="黑体" w:cs="Times New Roman"/>
          <w:sz w:val="32"/>
          <w:szCs w:val="32"/>
        </w:rPr>
        <w:t>二O二一年十</w:t>
      </w:r>
      <w:r>
        <w:rPr>
          <w:rFonts w:hint="eastAsia" w:ascii="Times New Roman" w:hAnsi="Times New Roman" w:eastAsia="黑体" w:cs="Times New Roman"/>
          <w:sz w:val="32"/>
          <w:szCs w:val="32"/>
          <w:lang w:eastAsia="zh-CN"/>
        </w:rPr>
        <w:t>二</w:t>
      </w:r>
      <w:r>
        <w:rPr>
          <w:rFonts w:ascii="Times New Roman" w:hAnsi="Times New Roman" w:eastAsia="黑体" w:cs="Times New Roman"/>
          <w:sz w:val="32"/>
          <w:szCs w:val="32"/>
        </w:rPr>
        <w:t>月</w:t>
      </w:r>
    </w:p>
    <w:p>
      <w:pPr>
        <w:pStyle w:val="2"/>
        <w:spacing w:line="560" w:lineRule="exact"/>
        <w:rPr>
          <w:rFonts w:hint="eastAsia" w:ascii="方正小标宋简体" w:hAnsi="方正小标宋简体" w:eastAsia="方正小标宋简体" w:cs="方正小标宋简体"/>
          <w:b w:val="0"/>
          <w:bCs w:val="0"/>
          <w:color w:val="000000"/>
          <w:sz w:val="36"/>
          <w:szCs w:val="36"/>
        </w:rPr>
      </w:pPr>
    </w:p>
    <w:p>
      <w:pPr>
        <w:pStyle w:val="2"/>
        <w:spacing w:line="560" w:lineRule="exact"/>
        <w:jc w:val="both"/>
        <w:rPr>
          <w:rFonts w:hint="eastAsia" w:ascii="方正小标宋简体" w:hAnsi="方正小标宋简体" w:eastAsia="方正小标宋简体" w:cs="方正小标宋简体"/>
          <w:b w:val="0"/>
          <w:bCs w:val="0"/>
          <w:color w:val="000000"/>
          <w:sz w:val="36"/>
          <w:szCs w:val="36"/>
        </w:rPr>
      </w:pPr>
      <w:bookmarkStart w:id="136" w:name="_GoBack"/>
      <w:bookmarkEnd w:id="136"/>
    </w:p>
    <w:p>
      <w:pPr>
        <w:pStyle w:val="2"/>
        <w:spacing w:line="560" w:lineRule="exact"/>
        <w:rPr>
          <w:rFonts w:ascii="方正小标宋简体" w:hAnsi="方正小标宋简体" w:eastAsia="方正小标宋简体" w:cs="方正小标宋简体"/>
          <w:b w:val="0"/>
          <w:bCs w:val="0"/>
          <w:color w:val="000000"/>
          <w:sz w:val="36"/>
          <w:szCs w:val="36"/>
        </w:rPr>
      </w:pPr>
      <w:r>
        <w:rPr>
          <w:rFonts w:hint="eastAsia" w:ascii="方正小标宋简体" w:hAnsi="方正小标宋简体" w:eastAsia="方正小标宋简体" w:cs="方正小标宋简体"/>
          <w:b w:val="0"/>
          <w:bCs w:val="0"/>
          <w:color w:val="000000"/>
          <w:sz w:val="36"/>
          <w:szCs w:val="36"/>
        </w:rPr>
        <w:t>序  言</w:t>
      </w:r>
    </w:p>
    <w:p/>
    <w:p>
      <w:pPr>
        <w:pStyle w:val="2"/>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十四五”时期是我国全面建成小康社会、实现第一个百年奋斗目标之后，乘势而上开启全面建设社会主义现代化国家新征程、向第二个百年奋斗目标进军的第一个五年，也是大兴区落实首都城市战略定位、加快建设“新国门·新大兴”的关键时期。金融业作为大兴区经济发展重要产业，在服务支持大兴区高质量发展，支撑构建大兴区现代化经济体系中发挥着越来越重要的作用。</w:t>
      </w:r>
    </w:p>
    <w:p>
      <w:pPr>
        <w:pStyle w:val="2"/>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方正小标宋简体" w:hAnsi="方正小标宋简体" w:eastAsia="方正小标宋简体" w:cs="方正小标宋简体"/>
          <w:b w:val="0"/>
          <w:bCs w:val="0"/>
          <w:color w:val="000000"/>
          <w:sz w:val="32"/>
          <w:szCs w:val="32"/>
        </w:rPr>
      </w:pPr>
      <w:r>
        <w:rPr>
          <w:rFonts w:hint="eastAsia" w:ascii="仿宋_GB2312" w:hAnsi="仿宋_GB2312" w:eastAsia="仿宋_GB2312" w:cs="仿宋_GB2312"/>
          <w:b w:val="0"/>
          <w:bCs w:val="0"/>
          <w:color w:val="000000"/>
          <w:sz w:val="32"/>
          <w:szCs w:val="32"/>
        </w:rPr>
        <w:t>《大兴区“十四五”时期金融业发展规划》（以下简称《规划》）是大兴区“十四五”规划体系中的专项规划，是《北京市大兴区国民经济和社会发展第十四个五年规划和二〇三五年远景目标纲要》在金融领域的延伸。《规划》明确了“十四五”时期大兴区金融业发展的指导思想、发展目标和主要任务。“十四五”时期，大兴区金融业将立足新发展阶段，完整、准确、全面贯彻新发展理念，更加自觉融入新发展格局，主动适应并积极引领金融格局深刻调整，更加突出金融服务实体经济的根本宗旨，有效维护金融安全，努力发展现代金融业。《规划》由大兴区金融服务办公室组织编制，编制工作历经工作机制确立、前期课题研究、深入区内部门、属地、园区、金融机构、重点企业和外省市特色地区开展深度走访调研，多次征求意见等阶段，广泛凝聚政府部门、金融机构和企业发展共识，科学绘制金融发展蓝图，是指导大兴区“十四五”时期金融工作的纲领性文件，在“十四五”时期乃至更长的中远期为金融业发展指明了方向。</w:t>
      </w:r>
    </w:p>
    <w:p>
      <w:pPr>
        <w:pStyle w:val="2"/>
        <w:spacing w:line="560" w:lineRule="exact"/>
        <w:rPr>
          <w:rFonts w:ascii="方正小标宋简体" w:hAnsi="方正小标宋简体" w:eastAsia="方正小标宋简体" w:cs="方正小标宋简体"/>
          <w:b w:val="0"/>
          <w:bCs w:val="0"/>
          <w:color w:val="000000"/>
          <w:sz w:val="36"/>
          <w:szCs w:val="36"/>
        </w:rPr>
      </w:pPr>
      <w:r>
        <w:rPr>
          <w:rFonts w:hint="eastAsia" w:ascii="方正小标宋简体" w:hAnsi="方正小标宋简体" w:eastAsia="方正小标宋简体" w:cs="方正小标宋简体"/>
          <w:b w:val="0"/>
          <w:bCs w:val="0"/>
          <w:color w:val="000000"/>
          <w:sz w:val="36"/>
          <w:szCs w:val="36"/>
        </w:rPr>
        <w:t>目  录</w:t>
      </w:r>
    </w:p>
    <w:p>
      <w:pPr>
        <w:spacing w:line="560" w:lineRule="exact"/>
      </w:pPr>
      <w:r>
        <w:rPr>
          <w:rFonts w:hint="eastAsia"/>
        </w:rPr>
        <w:t xml:space="preserve"> </w:t>
      </w:r>
    </w:p>
    <w:p>
      <w:pPr>
        <w:pStyle w:val="2"/>
        <w:spacing w:line="560" w:lineRule="exact"/>
        <w:jc w:val="both"/>
        <w:rPr>
          <w:rFonts w:ascii="仿宋_GB2312" w:hAnsi="仿宋_GB2312" w:eastAsia="仿宋_GB2312" w:cs="仿宋_GB2312"/>
          <w:color w:val="000000"/>
          <w:sz w:val="32"/>
          <w:szCs w:val="32"/>
        </w:rPr>
      </w:pPr>
      <w:r>
        <w:rPr>
          <w:rFonts w:hint="eastAsia"/>
          <w:color w:val="000000"/>
          <w:sz w:val="32"/>
          <w:szCs w:val="32"/>
        </w:rPr>
        <w:t>第一章 “十三五”时期大兴区金融发展回顾</w:t>
      </w:r>
      <w:r>
        <w:rPr>
          <w:rFonts w:hint="eastAsia" w:ascii="仿宋_GB2312" w:hAnsi="仿宋_GB2312" w:eastAsia="仿宋_GB2312" w:cs="仿宋_GB2312"/>
          <w:b w:val="0"/>
          <w:bCs w:val="0"/>
          <w:sz w:val="32"/>
          <w:szCs w:val="32"/>
          <w:u w:val="dotted"/>
        </w:rPr>
        <w:t xml:space="preserve">             </w:t>
      </w:r>
      <w:r>
        <w:rPr>
          <w:rFonts w:ascii="仿宋_GB2312" w:hAnsi="仿宋_GB2312" w:eastAsia="仿宋_GB2312" w:cs="仿宋_GB2312"/>
          <w:b w:val="0"/>
          <w:bCs w:val="0"/>
          <w:sz w:val="32"/>
          <w:szCs w:val="32"/>
        </w:rPr>
        <w:t>1</w:t>
      </w:r>
    </w:p>
    <w:p>
      <w:pPr>
        <w:spacing w:line="560" w:lineRule="exact"/>
        <w:jc w:val="both"/>
        <w:rPr>
          <w:rFonts w:ascii="仿宋_GB2312" w:hAnsi="仿宋_GB2312" w:eastAsia="仿宋_GB2312" w:cs="仿宋_GB2312"/>
          <w:sz w:val="32"/>
          <w:szCs w:val="32"/>
        </w:rPr>
      </w:pPr>
      <w:r>
        <w:rPr>
          <w:rFonts w:hint="eastAsia" w:ascii="黑体" w:hAnsi="黑体" w:eastAsia="黑体" w:cs="黑体"/>
          <w:sz w:val="32"/>
          <w:szCs w:val="32"/>
        </w:rPr>
        <w:t>一、金融业综合实力不断增强</w:t>
      </w:r>
      <w:r>
        <w:rPr>
          <w:rFonts w:hint="eastAsia" w:ascii="仿宋_GB2312" w:hAnsi="仿宋_GB2312" w:eastAsia="仿宋_GB2312" w:cs="仿宋_GB2312"/>
          <w:sz w:val="32"/>
          <w:szCs w:val="32"/>
          <w:u w:val="dotted"/>
        </w:rPr>
        <w:t xml:space="preserve">                         </w:t>
      </w:r>
      <w:r>
        <w:rPr>
          <w:rFonts w:hint="eastAsia" w:ascii="仿宋_GB2312" w:hAnsi="仿宋_GB2312" w:eastAsia="仿宋_GB2312" w:cs="仿宋_GB2312"/>
          <w:sz w:val="32"/>
          <w:szCs w:val="32"/>
        </w:rPr>
        <w:t>1</w:t>
      </w:r>
    </w:p>
    <w:p>
      <w:pPr>
        <w:spacing w:line="560" w:lineRule="exact"/>
        <w:jc w:val="both"/>
        <w:rPr>
          <w:rFonts w:ascii="仿宋_GB2312" w:hAnsi="仿宋_GB2312" w:eastAsia="仿宋_GB2312" w:cs="仿宋_GB2312"/>
          <w:sz w:val="32"/>
          <w:szCs w:val="32"/>
        </w:rPr>
      </w:pPr>
      <w:r>
        <w:rPr>
          <w:rFonts w:hint="eastAsia" w:ascii="黑体" w:hAnsi="黑体" w:eastAsia="黑体" w:cs="黑体"/>
          <w:sz w:val="32"/>
          <w:szCs w:val="32"/>
        </w:rPr>
        <w:t>二、金融服务实体经济能力日益彰显</w:t>
      </w:r>
      <w:r>
        <w:rPr>
          <w:rFonts w:hint="eastAsia" w:ascii="仿宋_GB2312" w:hAnsi="仿宋_GB2312" w:eastAsia="仿宋_GB2312" w:cs="仿宋_GB2312"/>
          <w:sz w:val="32"/>
          <w:szCs w:val="32"/>
          <w:u w:val="dotted"/>
        </w:rPr>
        <w:t xml:space="preserve">                   </w:t>
      </w:r>
      <w:r>
        <w:rPr>
          <w:rFonts w:hint="eastAsia" w:ascii="仿宋_GB2312" w:hAnsi="仿宋_GB2312" w:eastAsia="仿宋_GB2312" w:cs="仿宋_GB2312"/>
          <w:sz w:val="32"/>
          <w:szCs w:val="32"/>
        </w:rPr>
        <w:t>2</w:t>
      </w:r>
    </w:p>
    <w:p>
      <w:pPr>
        <w:spacing w:line="560" w:lineRule="exact"/>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（一）全方位服务企业上市</w:t>
      </w:r>
      <w:r>
        <w:rPr>
          <w:rFonts w:hint="eastAsia" w:ascii="仿宋_GB2312" w:hAnsi="仿宋_GB2312" w:eastAsia="仿宋_GB2312" w:cs="仿宋_GB2312"/>
          <w:sz w:val="32"/>
          <w:szCs w:val="32"/>
          <w:u w:val="dotted"/>
        </w:rPr>
        <w:t xml:space="preserve"> </w:t>
      </w:r>
      <w:r>
        <w:rPr>
          <w:rFonts w:ascii="仿宋_GB2312" w:hAnsi="仿宋_GB2312" w:eastAsia="仿宋_GB2312" w:cs="仿宋_GB2312"/>
          <w:sz w:val="32"/>
          <w:szCs w:val="32"/>
          <w:u w:val="dotted"/>
        </w:rPr>
        <w:t xml:space="preserve"> </w:t>
      </w:r>
      <w:r>
        <w:rPr>
          <w:rFonts w:hint="eastAsia" w:ascii="仿宋_GB2312" w:hAnsi="仿宋_GB2312" w:eastAsia="仿宋_GB2312" w:cs="仿宋_GB2312"/>
          <w:sz w:val="32"/>
          <w:szCs w:val="32"/>
          <w:u w:val="dotted"/>
        </w:rPr>
        <w:t xml:space="preserve">                         </w:t>
      </w:r>
      <w:r>
        <w:rPr>
          <w:rFonts w:hint="eastAsia" w:ascii="仿宋_GB2312" w:hAnsi="仿宋_GB2312" w:eastAsia="仿宋_GB2312" w:cs="仿宋_GB2312"/>
          <w:sz w:val="32"/>
          <w:szCs w:val="32"/>
        </w:rPr>
        <w:t>2</w:t>
      </w:r>
    </w:p>
    <w:p>
      <w:pPr>
        <w:spacing w:line="560" w:lineRule="exact"/>
        <w:rPr>
          <w:rFonts w:ascii="仿宋_GB2312" w:hAnsi="仿宋_GB2312" w:eastAsia="仿宋_GB2312" w:cs="仿宋_GB2312"/>
          <w:sz w:val="32"/>
          <w:szCs w:val="32"/>
        </w:rPr>
      </w:pPr>
      <w:r>
        <w:rPr>
          <w:rFonts w:hint="eastAsia" w:ascii="楷体_GB2312" w:hAnsi="楷体_GB2312" w:eastAsia="楷体_GB2312" w:cs="楷体_GB2312"/>
          <w:sz w:val="32"/>
          <w:szCs w:val="32"/>
        </w:rPr>
        <w:t>（二）多渠道破解企业融资难题</w:t>
      </w:r>
      <w:r>
        <w:rPr>
          <w:rFonts w:hint="eastAsia" w:ascii="仿宋_GB2312" w:hAnsi="仿宋_GB2312" w:eastAsia="仿宋_GB2312" w:cs="仿宋_GB2312"/>
          <w:sz w:val="32"/>
          <w:szCs w:val="32"/>
          <w:u w:val="dotted"/>
        </w:rPr>
        <w:t xml:space="preserve">  </w:t>
      </w:r>
      <w:r>
        <w:rPr>
          <w:rFonts w:ascii="仿宋_GB2312" w:hAnsi="仿宋_GB2312" w:eastAsia="仿宋_GB2312" w:cs="仿宋_GB2312"/>
          <w:sz w:val="32"/>
          <w:szCs w:val="32"/>
          <w:u w:val="dotted"/>
        </w:rPr>
        <w:t xml:space="preserve">   </w:t>
      </w:r>
      <w:r>
        <w:rPr>
          <w:rFonts w:hint="eastAsia" w:ascii="仿宋_GB2312" w:hAnsi="仿宋_GB2312" w:eastAsia="仿宋_GB2312" w:cs="仿宋_GB2312"/>
          <w:sz w:val="32"/>
          <w:szCs w:val="32"/>
          <w:u w:val="dotted"/>
        </w:rPr>
        <w:t xml:space="preserve">                  </w:t>
      </w:r>
      <w:r>
        <w:rPr>
          <w:rFonts w:hint="eastAsia" w:ascii="仿宋_GB2312" w:hAnsi="仿宋_GB2312" w:eastAsia="仿宋_GB2312" w:cs="仿宋_GB2312"/>
          <w:sz w:val="32"/>
          <w:szCs w:val="32"/>
        </w:rPr>
        <w:t>2</w:t>
      </w:r>
    </w:p>
    <w:p>
      <w:pPr>
        <w:spacing w:line="560" w:lineRule="exact"/>
        <w:rPr>
          <w:rFonts w:eastAsia="仿宋_GB2312"/>
        </w:rPr>
      </w:pPr>
      <w:r>
        <w:rPr>
          <w:rFonts w:hint="eastAsia" w:ascii="楷体_GB2312" w:hAnsi="楷体_GB2312" w:eastAsia="楷体_GB2312" w:cs="楷体_GB2312"/>
          <w:sz w:val="32"/>
          <w:szCs w:val="32"/>
        </w:rPr>
        <w:t>（三）保障重点项目融资</w:t>
      </w:r>
      <w:r>
        <w:rPr>
          <w:rFonts w:hint="eastAsia" w:ascii="仿宋_GB2312" w:hAnsi="仿宋_GB2312" w:eastAsia="仿宋_GB2312" w:cs="仿宋_GB2312"/>
          <w:sz w:val="32"/>
          <w:szCs w:val="32"/>
          <w:u w:val="dotted"/>
        </w:rPr>
        <w:t xml:space="preserve"> </w:t>
      </w:r>
      <w:r>
        <w:rPr>
          <w:rFonts w:ascii="仿宋_GB2312" w:hAnsi="仿宋_GB2312" w:eastAsia="仿宋_GB2312" w:cs="仿宋_GB2312"/>
          <w:sz w:val="32"/>
          <w:szCs w:val="32"/>
          <w:u w:val="dotted"/>
        </w:rPr>
        <w:t xml:space="preserve">      </w:t>
      </w:r>
      <w:r>
        <w:rPr>
          <w:rFonts w:hint="eastAsia" w:ascii="仿宋_GB2312" w:hAnsi="仿宋_GB2312" w:eastAsia="仿宋_GB2312" w:cs="仿宋_GB2312"/>
          <w:sz w:val="32"/>
          <w:szCs w:val="32"/>
          <w:u w:val="dotted"/>
        </w:rPr>
        <w:t xml:space="preserve">                      </w:t>
      </w:r>
      <w:r>
        <w:rPr>
          <w:rFonts w:hint="eastAsia" w:ascii="仿宋_GB2312" w:hAnsi="仿宋_GB2312" w:eastAsia="仿宋_GB2312" w:cs="仿宋_GB2312"/>
          <w:sz w:val="32"/>
          <w:szCs w:val="32"/>
        </w:rPr>
        <w:t>2</w:t>
      </w:r>
    </w:p>
    <w:p>
      <w:pPr>
        <w:spacing w:line="560" w:lineRule="exact"/>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（四）金融营商环境持续优化</w:t>
      </w:r>
      <w:r>
        <w:rPr>
          <w:rFonts w:hint="eastAsia" w:ascii="仿宋_GB2312" w:hAnsi="仿宋_GB2312" w:eastAsia="仿宋_GB2312" w:cs="仿宋_GB2312"/>
          <w:sz w:val="32"/>
          <w:szCs w:val="32"/>
          <w:u w:val="dotted"/>
        </w:rPr>
        <w:t xml:space="preserve">                         </w:t>
      </w:r>
      <w:r>
        <w:rPr>
          <w:rFonts w:hint="eastAsia" w:ascii="仿宋_GB2312" w:hAnsi="仿宋_GB2312" w:eastAsia="仿宋_GB2312" w:cs="仿宋_GB2312"/>
          <w:sz w:val="32"/>
          <w:szCs w:val="32"/>
        </w:rPr>
        <w:t>2</w:t>
      </w:r>
    </w:p>
    <w:p>
      <w:pPr>
        <w:spacing w:line="560" w:lineRule="exact"/>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（五）金融招商工作机制不断完善</w:t>
      </w:r>
      <w:r>
        <w:rPr>
          <w:rFonts w:hint="eastAsia" w:ascii="仿宋_GB2312" w:hAnsi="仿宋_GB2312" w:eastAsia="仿宋_GB2312" w:cs="仿宋_GB2312"/>
          <w:sz w:val="32"/>
          <w:szCs w:val="32"/>
          <w:u w:val="dotted"/>
        </w:rPr>
        <w:t xml:space="preserve">                     </w:t>
      </w:r>
      <w:r>
        <w:rPr>
          <w:rFonts w:hint="eastAsia" w:ascii="仿宋_GB2312" w:hAnsi="仿宋_GB2312" w:eastAsia="仿宋_GB2312" w:cs="仿宋_GB2312"/>
          <w:sz w:val="32"/>
          <w:szCs w:val="32"/>
        </w:rPr>
        <w:t>3</w:t>
      </w:r>
    </w:p>
    <w:p>
      <w:pPr>
        <w:spacing w:line="560" w:lineRule="exact"/>
        <w:jc w:val="both"/>
        <w:rPr>
          <w:rFonts w:ascii="仿宋_GB2312" w:hAnsi="仿宋_GB2312" w:eastAsia="仿宋_GB2312" w:cs="仿宋_GB2312"/>
          <w:sz w:val="32"/>
          <w:szCs w:val="32"/>
        </w:rPr>
      </w:pPr>
      <w:r>
        <w:rPr>
          <w:rFonts w:hint="eastAsia" w:ascii="黑体" w:hAnsi="黑体" w:eastAsia="黑体" w:cs="黑体"/>
          <w:sz w:val="32"/>
          <w:szCs w:val="32"/>
        </w:rPr>
        <w:t>三、农村金融改革进一步深化</w:t>
      </w:r>
      <w:r>
        <w:rPr>
          <w:rFonts w:hint="eastAsia" w:ascii="仿宋_GB2312" w:hAnsi="仿宋_GB2312" w:eastAsia="仿宋_GB2312" w:cs="仿宋_GB2312"/>
          <w:sz w:val="32"/>
          <w:szCs w:val="32"/>
          <w:u w:val="dotted"/>
        </w:rPr>
        <w:t xml:space="preserve">                         </w:t>
      </w:r>
      <w:r>
        <w:rPr>
          <w:rFonts w:hint="eastAsia" w:ascii="仿宋_GB2312" w:hAnsi="仿宋_GB2312" w:eastAsia="仿宋_GB2312" w:cs="仿宋_GB2312"/>
          <w:sz w:val="32"/>
          <w:szCs w:val="32"/>
        </w:rPr>
        <w:t>3</w:t>
      </w:r>
    </w:p>
    <w:p>
      <w:pPr>
        <w:spacing w:line="560" w:lineRule="exact"/>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（一）农村金融改革持续推进</w:t>
      </w:r>
      <w:r>
        <w:rPr>
          <w:rFonts w:hint="eastAsia" w:ascii="仿宋_GB2312" w:hAnsi="仿宋_GB2312" w:eastAsia="仿宋_GB2312" w:cs="仿宋_GB2312"/>
          <w:sz w:val="32"/>
          <w:szCs w:val="32"/>
          <w:u w:val="dotted"/>
        </w:rPr>
        <w:t xml:space="preserve">                         </w:t>
      </w:r>
      <w:r>
        <w:rPr>
          <w:rFonts w:hint="eastAsia" w:ascii="仿宋_GB2312" w:hAnsi="仿宋_GB2312" w:eastAsia="仿宋_GB2312" w:cs="仿宋_GB2312"/>
          <w:sz w:val="32"/>
          <w:szCs w:val="32"/>
        </w:rPr>
        <w:t>3</w:t>
      </w:r>
    </w:p>
    <w:p>
      <w:pPr>
        <w:spacing w:line="560" w:lineRule="exact"/>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（二）农业保险覆盖面不断扩大</w:t>
      </w:r>
      <w:r>
        <w:rPr>
          <w:rFonts w:hint="eastAsia" w:ascii="仿宋_GB2312" w:hAnsi="仿宋_GB2312" w:eastAsia="仿宋_GB2312" w:cs="仿宋_GB2312"/>
          <w:sz w:val="32"/>
          <w:szCs w:val="32"/>
          <w:u w:val="dotted"/>
        </w:rPr>
        <w:t xml:space="preserve">                       </w:t>
      </w:r>
      <w:r>
        <w:rPr>
          <w:rFonts w:hint="eastAsia" w:ascii="仿宋_GB2312" w:hAnsi="仿宋_GB2312" w:eastAsia="仿宋_GB2312" w:cs="仿宋_GB2312"/>
          <w:sz w:val="32"/>
          <w:szCs w:val="32"/>
        </w:rPr>
        <w:t>3</w:t>
      </w:r>
    </w:p>
    <w:p>
      <w:pPr>
        <w:spacing w:line="560" w:lineRule="exact"/>
        <w:jc w:val="both"/>
        <w:rPr>
          <w:sz w:val="32"/>
          <w:szCs w:val="32"/>
        </w:rPr>
      </w:pPr>
      <w:r>
        <w:rPr>
          <w:rFonts w:hint="eastAsia" w:ascii="楷体_GB2312" w:hAnsi="楷体_GB2312" w:eastAsia="楷体_GB2312" w:cs="楷体_GB2312"/>
          <w:sz w:val="32"/>
          <w:szCs w:val="32"/>
        </w:rPr>
        <w:t>（三）农村金融环境持续优化</w:t>
      </w:r>
      <w:r>
        <w:rPr>
          <w:rFonts w:hint="eastAsia" w:ascii="仿宋_GB2312" w:hAnsi="仿宋_GB2312" w:eastAsia="仿宋_GB2312" w:cs="仿宋_GB2312"/>
          <w:sz w:val="32"/>
          <w:szCs w:val="32"/>
          <w:u w:val="dotted"/>
        </w:rPr>
        <w:t xml:space="preserve">                         </w:t>
      </w:r>
      <w:r>
        <w:rPr>
          <w:rFonts w:ascii="仿宋_GB2312" w:hAnsi="仿宋_GB2312" w:eastAsia="仿宋_GB2312" w:cs="仿宋_GB2312"/>
          <w:sz w:val="32"/>
          <w:szCs w:val="32"/>
        </w:rPr>
        <w:t>4</w:t>
      </w:r>
    </w:p>
    <w:p>
      <w:pPr>
        <w:spacing w:line="560" w:lineRule="exact"/>
        <w:jc w:val="both"/>
        <w:rPr>
          <w:rFonts w:ascii="仿宋_GB2312" w:hAnsi="仿宋_GB2312" w:eastAsia="仿宋_GB2312" w:cs="仿宋_GB2312"/>
          <w:sz w:val="32"/>
          <w:szCs w:val="32"/>
        </w:rPr>
      </w:pPr>
      <w:r>
        <w:rPr>
          <w:rFonts w:hint="eastAsia" w:ascii="黑体" w:hAnsi="黑体" w:eastAsia="黑体" w:cs="黑体"/>
          <w:sz w:val="32"/>
          <w:szCs w:val="32"/>
        </w:rPr>
        <w:t>四、金融风险防范能力持续提升</w:t>
      </w:r>
      <w:r>
        <w:rPr>
          <w:rFonts w:hint="eastAsia" w:ascii="仿宋_GB2312" w:hAnsi="仿宋_GB2312" w:eastAsia="仿宋_GB2312" w:cs="仿宋_GB2312"/>
          <w:sz w:val="32"/>
          <w:szCs w:val="32"/>
          <w:u w:val="dotted"/>
        </w:rPr>
        <w:t xml:space="preserve">                       </w:t>
      </w:r>
      <w:r>
        <w:rPr>
          <w:rFonts w:hint="eastAsia" w:ascii="仿宋_GB2312" w:hAnsi="仿宋_GB2312" w:eastAsia="仿宋_GB2312" w:cs="仿宋_GB2312"/>
          <w:sz w:val="32"/>
          <w:szCs w:val="32"/>
        </w:rPr>
        <w:t>4</w:t>
      </w:r>
    </w:p>
    <w:p>
      <w:pPr>
        <w:spacing w:line="560" w:lineRule="exact"/>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（一）高度重视金融安全工作</w:t>
      </w:r>
      <w:r>
        <w:rPr>
          <w:rFonts w:hint="eastAsia" w:ascii="仿宋_GB2312" w:hAnsi="仿宋_GB2312" w:eastAsia="仿宋_GB2312" w:cs="仿宋_GB2312"/>
          <w:sz w:val="32"/>
          <w:szCs w:val="32"/>
          <w:u w:val="dotted"/>
        </w:rPr>
        <w:t xml:space="preserve">                         </w:t>
      </w:r>
      <w:r>
        <w:rPr>
          <w:rFonts w:hint="eastAsia" w:ascii="仿宋_GB2312" w:hAnsi="仿宋_GB2312" w:eastAsia="仿宋_GB2312" w:cs="仿宋_GB2312"/>
          <w:sz w:val="32"/>
          <w:szCs w:val="32"/>
        </w:rPr>
        <w:t>4</w:t>
      </w:r>
    </w:p>
    <w:p>
      <w:pPr>
        <w:spacing w:line="560" w:lineRule="exact"/>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（二）建立健全长效工作机制</w:t>
      </w:r>
      <w:r>
        <w:rPr>
          <w:rFonts w:hint="eastAsia" w:ascii="仿宋_GB2312" w:hAnsi="仿宋_GB2312" w:eastAsia="仿宋_GB2312" w:cs="仿宋_GB2312"/>
          <w:sz w:val="32"/>
          <w:szCs w:val="32"/>
          <w:u w:val="dotted"/>
        </w:rPr>
        <w:t xml:space="preserve">                         </w:t>
      </w:r>
      <w:r>
        <w:rPr>
          <w:rFonts w:hint="eastAsia" w:ascii="仿宋_GB2312" w:hAnsi="仿宋_GB2312" w:eastAsia="仿宋_GB2312" w:cs="仿宋_GB2312"/>
          <w:sz w:val="32"/>
          <w:szCs w:val="32"/>
        </w:rPr>
        <w:t>4</w:t>
      </w:r>
    </w:p>
    <w:p>
      <w:pPr>
        <w:spacing w:line="560" w:lineRule="exact"/>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（三）强化区、镇街、村社区三级联勤联动</w:t>
      </w:r>
      <w:r>
        <w:rPr>
          <w:rFonts w:hint="eastAsia" w:ascii="仿宋_GB2312" w:hAnsi="仿宋_GB2312" w:eastAsia="仿宋_GB2312" w:cs="仿宋_GB2312"/>
          <w:sz w:val="32"/>
          <w:szCs w:val="32"/>
          <w:u w:val="dotted"/>
        </w:rPr>
        <w:t xml:space="preserve">             </w:t>
      </w:r>
      <w:r>
        <w:rPr>
          <w:rFonts w:hint="eastAsia" w:ascii="仿宋_GB2312" w:hAnsi="仿宋_GB2312" w:eastAsia="仿宋_GB2312" w:cs="仿宋_GB2312"/>
          <w:sz w:val="32"/>
          <w:szCs w:val="32"/>
        </w:rPr>
        <w:t>4</w:t>
      </w:r>
    </w:p>
    <w:p>
      <w:pPr>
        <w:pStyle w:val="2"/>
        <w:spacing w:line="560" w:lineRule="exact"/>
        <w:jc w:val="both"/>
        <w:rPr>
          <w:rFonts w:ascii="仿宋_GB2312" w:hAnsi="仿宋_GB2312" w:eastAsia="仿宋_GB2312" w:cs="仿宋_GB2312"/>
          <w:color w:val="000000"/>
          <w:sz w:val="32"/>
          <w:szCs w:val="32"/>
        </w:rPr>
      </w:pPr>
      <w:r>
        <w:rPr>
          <w:rFonts w:hint="eastAsia"/>
          <w:color w:val="000000"/>
          <w:sz w:val="32"/>
          <w:szCs w:val="32"/>
        </w:rPr>
        <w:t>第二章 “十四五”时期大兴区金融业发展背景</w:t>
      </w:r>
      <w:r>
        <w:rPr>
          <w:rFonts w:hint="eastAsia" w:ascii="仿宋_GB2312" w:hAnsi="仿宋_GB2312" w:eastAsia="仿宋_GB2312" w:cs="仿宋_GB2312"/>
          <w:b w:val="0"/>
          <w:bCs w:val="0"/>
          <w:sz w:val="32"/>
          <w:szCs w:val="32"/>
          <w:u w:val="dotted"/>
        </w:rPr>
        <w:t xml:space="preserve">          </w:t>
      </w:r>
      <w:r>
        <w:rPr>
          <w:rFonts w:hint="eastAsia" w:ascii="仿宋_GB2312" w:hAnsi="仿宋_GB2312" w:eastAsia="仿宋_GB2312" w:cs="仿宋_GB2312"/>
          <w:b w:val="0"/>
          <w:bCs w:val="0"/>
          <w:sz w:val="32"/>
          <w:szCs w:val="32"/>
        </w:rPr>
        <w:t>5</w:t>
      </w:r>
    </w:p>
    <w:p>
      <w:pPr>
        <w:spacing w:line="560" w:lineRule="exact"/>
        <w:jc w:val="both"/>
        <w:rPr>
          <w:rFonts w:ascii="仿宋_GB2312" w:hAnsi="仿宋_GB2312" w:eastAsia="仿宋_GB2312" w:cs="仿宋_GB2312"/>
          <w:sz w:val="32"/>
          <w:szCs w:val="32"/>
        </w:rPr>
      </w:pPr>
      <w:r>
        <w:rPr>
          <w:rFonts w:hint="eastAsia" w:ascii="黑体" w:hAnsi="黑体" w:eastAsia="黑体" w:cs="黑体"/>
          <w:sz w:val="32"/>
          <w:szCs w:val="32"/>
        </w:rPr>
        <w:t>一、“十四五”时期金融业发展机遇</w:t>
      </w:r>
      <w:r>
        <w:rPr>
          <w:rFonts w:hint="eastAsia" w:ascii="仿宋_GB2312" w:hAnsi="仿宋_GB2312" w:eastAsia="仿宋_GB2312" w:cs="仿宋_GB2312"/>
          <w:sz w:val="32"/>
          <w:szCs w:val="32"/>
          <w:u w:val="dotted"/>
        </w:rPr>
        <w:t xml:space="preserve">                   </w:t>
      </w:r>
      <w:r>
        <w:rPr>
          <w:rFonts w:hint="eastAsia" w:ascii="仿宋_GB2312" w:hAnsi="仿宋_GB2312" w:eastAsia="仿宋_GB2312" w:cs="仿宋_GB2312"/>
          <w:sz w:val="32"/>
          <w:szCs w:val="32"/>
        </w:rPr>
        <w:t>5</w:t>
      </w:r>
      <w:r>
        <w:rPr>
          <w:rFonts w:hint="eastAsia" w:ascii="楷体_GB2312" w:hAnsi="楷体_GB2312" w:eastAsia="楷体_GB2312" w:cs="楷体_GB2312"/>
          <w:sz w:val="32"/>
          <w:szCs w:val="32"/>
        </w:rPr>
        <w:t xml:space="preserve">（一）首都功能持续梯度转移 </w:t>
      </w:r>
      <w:r>
        <w:rPr>
          <w:rFonts w:hint="eastAsia" w:ascii="仿宋_GB2312" w:hAnsi="仿宋_GB2312" w:eastAsia="仿宋_GB2312" w:cs="仿宋_GB2312"/>
          <w:sz w:val="32"/>
          <w:szCs w:val="32"/>
          <w:u w:val="dotted"/>
        </w:rPr>
        <w:t xml:space="preserve">                        </w:t>
      </w:r>
      <w:r>
        <w:rPr>
          <w:rFonts w:hint="eastAsia" w:ascii="仿宋_GB2312" w:hAnsi="仿宋_GB2312" w:eastAsia="仿宋_GB2312" w:cs="仿宋_GB2312"/>
          <w:sz w:val="32"/>
          <w:szCs w:val="32"/>
        </w:rPr>
        <w:t>5</w:t>
      </w:r>
    </w:p>
    <w:p>
      <w:pPr>
        <w:spacing w:line="560" w:lineRule="exact"/>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 xml:space="preserve">（二）“两区”建设政策体系叠加 </w:t>
      </w:r>
      <w:r>
        <w:rPr>
          <w:rFonts w:hint="eastAsia" w:ascii="仿宋_GB2312" w:hAnsi="仿宋_GB2312" w:eastAsia="仿宋_GB2312" w:cs="仿宋_GB2312"/>
          <w:sz w:val="32"/>
          <w:szCs w:val="32"/>
          <w:u w:val="dotted"/>
        </w:rPr>
        <w:t xml:space="preserve">                    </w:t>
      </w:r>
      <w:r>
        <w:rPr>
          <w:rFonts w:hint="eastAsia" w:ascii="仿宋_GB2312" w:hAnsi="仿宋_GB2312" w:eastAsia="仿宋_GB2312" w:cs="仿宋_GB2312"/>
          <w:sz w:val="32"/>
          <w:szCs w:val="32"/>
        </w:rPr>
        <w:t>6</w:t>
      </w:r>
    </w:p>
    <w:p>
      <w:pPr>
        <w:spacing w:line="560" w:lineRule="exact"/>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（三）产业集聚效应持续增强</w:t>
      </w:r>
      <w:r>
        <w:rPr>
          <w:rFonts w:hint="eastAsia" w:ascii="仿宋_GB2312" w:hAnsi="仿宋_GB2312" w:eastAsia="仿宋_GB2312" w:cs="仿宋_GB2312"/>
          <w:sz w:val="32"/>
          <w:szCs w:val="32"/>
          <w:u w:val="dotted"/>
        </w:rPr>
        <w:t xml:space="preserve">          </w:t>
      </w:r>
      <w:r>
        <w:rPr>
          <w:rFonts w:ascii="仿宋_GB2312" w:hAnsi="仿宋_GB2312" w:eastAsia="仿宋_GB2312" w:cs="仿宋_GB2312"/>
          <w:sz w:val="32"/>
          <w:szCs w:val="32"/>
          <w:u w:val="dotted"/>
        </w:rPr>
        <w:t xml:space="preserve">    </w:t>
      </w:r>
      <w:r>
        <w:rPr>
          <w:rFonts w:hint="eastAsia" w:ascii="仿宋_GB2312" w:hAnsi="仿宋_GB2312" w:eastAsia="仿宋_GB2312" w:cs="仿宋_GB2312"/>
          <w:sz w:val="32"/>
          <w:szCs w:val="32"/>
          <w:u w:val="dotted"/>
        </w:rPr>
        <w:t xml:space="preserve">           </w:t>
      </w:r>
      <w:r>
        <w:rPr>
          <w:rFonts w:hint="eastAsia" w:ascii="仿宋_GB2312" w:hAnsi="仿宋_GB2312" w:eastAsia="仿宋_GB2312" w:cs="仿宋_GB2312"/>
          <w:sz w:val="32"/>
          <w:szCs w:val="32"/>
        </w:rPr>
        <w:t>6</w:t>
      </w:r>
    </w:p>
    <w:p>
      <w:pPr>
        <w:spacing w:line="560" w:lineRule="exact"/>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（四）金融创新加速发展</w:t>
      </w:r>
      <w:r>
        <w:rPr>
          <w:rFonts w:hint="eastAsia" w:ascii="仿宋_GB2312" w:hAnsi="仿宋_GB2312" w:eastAsia="仿宋_GB2312" w:cs="仿宋_GB2312"/>
          <w:sz w:val="32"/>
          <w:szCs w:val="32"/>
          <w:u w:val="dotted"/>
        </w:rPr>
        <w:t xml:space="preserve">                             </w:t>
      </w:r>
      <w:r>
        <w:rPr>
          <w:rFonts w:hint="eastAsia" w:ascii="仿宋_GB2312" w:hAnsi="仿宋_GB2312" w:eastAsia="仿宋_GB2312" w:cs="仿宋_GB2312"/>
          <w:sz w:val="32"/>
          <w:szCs w:val="32"/>
        </w:rPr>
        <w:t>6</w:t>
      </w:r>
    </w:p>
    <w:p>
      <w:pPr>
        <w:spacing w:line="560" w:lineRule="exact"/>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（五）乡村振兴战略有序推进</w:t>
      </w:r>
      <w:r>
        <w:rPr>
          <w:rFonts w:hint="eastAsia" w:ascii="仿宋_GB2312" w:hAnsi="仿宋_GB2312" w:eastAsia="仿宋_GB2312" w:cs="仿宋_GB2312"/>
          <w:sz w:val="32"/>
          <w:szCs w:val="32"/>
          <w:u w:val="dotted"/>
        </w:rPr>
        <w:t xml:space="preserve">                   </w:t>
      </w:r>
      <w:r>
        <w:rPr>
          <w:rFonts w:ascii="仿宋_GB2312" w:hAnsi="仿宋_GB2312" w:eastAsia="仿宋_GB2312" w:cs="仿宋_GB2312"/>
          <w:sz w:val="32"/>
          <w:szCs w:val="32"/>
          <w:u w:val="dotted"/>
        </w:rPr>
        <w:t xml:space="preserve">   </w:t>
      </w:r>
      <w:r>
        <w:rPr>
          <w:rFonts w:hint="eastAsia" w:ascii="仿宋_GB2312" w:hAnsi="仿宋_GB2312" w:eastAsia="仿宋_GB2312" w:cs="仿宋_GB2312"/>
          <w:sz w:val="32"/>
          <w:szCs w:val="32"/>
          <w:u w:val="dotted"/>
        </w:rPr>
        <w:t xml:space="preserve">   </w:t>
      </w:r>
      <w:r>
        <w:rPr>
          <w:rFonts w:hint="eastAsia" w:ascii="仿宋_GB2312" w:hAnsi="仿宋_GB2312" w:eastAsia="仿宋_GB2312" w:cs="仿宋_GB2312"/>
          <w:sz w:val="32"/>
          <w:szCs w:val="32"/>
        </w:rPr>
        <w:t>7</w:t>
      </w:r>
    </w:p>
    <w:p>
      <w:pPr>
        <w:spacing w:line="560" w:lineRule="exact"/>
        <w:jc w:val="both"/>
        <w:rPr>
          <w:rFonts w:ascii="仿宋_GB2312" w:hAnsi="仿宋_GB2312" w:eastAsia="仿宋_GB2312" w:cs="仿宋_GB2312"/>
          <w:sz w:val="32"/>
          <w:szCs w:val="32"/>
        </w:rPr>
      </w:pPr>
      <w:r>
        <w:rPr>
          <w:rFonts w:hint="eastAsia" w:ascii="黑体" w:hAnsi="黑体" w:eastAsia="黑体" w:cs="黑体"/>
          <w:sz w:val="32"/>
          <w:szCs w:val="32"/>
        </w:rPr>
        <w:t>二、主要挑战</w:t>
      </w:r>
      <w:r>
        <w:rPr>
          <w:rFonts w:hint="eastAsia" w:ascii="仿宋_GB2312" w:hAnsi="仿宋_GB2312" w:eastAsia="仿宋_GB2312" w:cs="仿宋_GB2312"/>
          <w:sz w:val="32"/>
          <w:szCs w:val="32"/>
          <w:u w:val="dotted"/>
        </w:rPr>
        <w:t xml:space="preserve">                                       </w:t>
      </w:r>
      <w:r>
        <w:rPr>
          <w:rFonts w:hint="eastAsia" w:ascii="仿宋_GB2312" w:hAnsi="仿宋_GB2312" w:eastAsia="仿宋_GB2312" w:cs="仿宋_GB2312"/>
          <w:sz w:val="32"/>
          <w:szCs w:val="32"/>
        </w:rPr>
        <w:t>7</w:t>
      </w:r>
    </w:p>
    <w:p>
      <w:pPr>
        <w:spacing w:line="560" w:lineRule="exact"/>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（一）优质金融资源缺乏，金融业态有待丰富</w:t>
      </w:r>
      <w:r>
        <w:rPr>
          <w:rFonts w:hint="eastAsia" w:ascii="仿宋_GB2312" w:hAnsi="仿宋_GB2312" w:eastAsia="仿宋_GB2312" w:cs="仿宋_GB2312"/>
          <w:sz w:val="32"/>
          <w:szCs w:val="32"/>
          <w:u w:val="dotted"/>
        </w:rPr>
        <w:t xml:space="preserve">           </w:t>
      </w:r>
      <w:r>
        <w:rPr>
          <w:rFonts w:hint="eastAsia" w:ascii="仿宋_GB2312" w:hAnsi="仿宋_GB2312" w:eastAsia="仿宋_GB2312" w:cs="仿宋_GB2312"/>
          <w:sz w:val="32"/>
          <w:szCs w:val="32"/>
        </w:rPr>
        <w:t>7</w:t>
      </w:r>
    </w:p>
    <w:p>
      <w:pPr>
        <w:spacing w:line="560" w:lineRule="exact"/>
        <w:jc w:val="both"/>
        <w:rPr>
          <w:rFonts w:ascii="仿宋_GB2312" w:hAnsi="仿宋_GB2312" w:eastAsia="仿宋_GB2312" w:cs="仿宋_GB2312"/>
          <w:w w:val="95"/>
          <w:sz w:val="32"/>
          <w:szCs w:val="32"/>
        </w:rPr>
      </w:pPr>
      <w:r>
        <w:rPr>
          <w:rFonts w:hint="eastAsia" w:ascii="楷体_GB2312" w:hAnsi="楷体_GB2312" w:eastAsia="楷体_GB2312" w:cs="楷体_GB2312"/>
          <w:w w:val="95"/>
          <w:sz w:val="32"/>
          <w:szCs w:val="32"/>
        </w:rPr>
        <w:t>（二）争取“两区”建设政策倾斜的优势不明显</w:t>
      </w:r>
      <w:r>
        <w:rPr>
          <w:rFonts w:hint="eastAsia" w:ascii="楷体_GB2312" w:hAnsi="楷体_GB2312" w:eastAsia="楷体_GB2312" w:cs="楷体_GB2312"/>
          <w:w w:val="95"/>
          <w:sz w:val="32"/>
          <w:szCs w:val="32"/>
          <w:u w:val="dotted"/>
        </w:rPr>
        <w:t xml:space="preserve">     </w:t>
      </w:r>
      <w:r>
        <w:rPr>
          <w:rFonts w:hint="eastAsia" w:ascii="仿宋_GB2312" w:hAnsi="仿宋_GB2312" w:eastAsia="仿宋_GB2312" w:cs="仿宋_GB2312"/>
          <w:w w:val="95"/>
          <w:sz w:val="32"/>
          <w:szCs w:val="32"/>
          <w:u w:val="dotted"/>
        </w:rPr>
        <w:t xml:space="preserve">       </w:t>
      </w:r>
      <w:r>
        <w:rPr>
          <w:rFonts w:hint="eastAsia" w:ascii="仿宋_GB2312" w:hAnsi="仿宋_GB2312" w:eastAsia="仿宋_GB2312" w:cs="仿宋_GB2312"/>
          <w:w w:val="95"/>
          <w:sz w:val="32"/>
          <w:szCs w:val="32"/>
        </w:rPr>
        <w:t>8</w:t>
      </w:r>
    </w:p>
    <w:p>
      <w:pPr>
        <w:spacing w:line="560" w:lineRule="exact"/>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（三）金融风险防范能力仍需持续加强</w:t>
      </w:r>
      <w:r>
        <w:rPr>
          <w:rFonts w:hint="eastAsia" w:ascii="仿宋_GB2312" w:hAnsi="仿宋_GB2312" w:eastAsia="仿宋_GB2312" w:cs="仿宋_GB2312"/>
          <w:sz w:val="32"/>
          <w:szCs w:val="32"/>
          <w:u w:val="dotted"/>
        </w:rPr>
        <w:t xml:space="preserve">               </w:t>
      </w:r>
      <w:r>
        <w:rPr>
          <w:rFonts w:ascii="仿宋_GB2312" w:hAnsi="仿宋_GB2312" w:eastAsia="仿宋_GB2312" w:cs="仿宋_GB2312"/>
          <w:sz w:val="32"/>
          <w:szCs w:val="32"/>
          <w:u w:val="dotted"/>
        </w:rPr>
        <w:t xml:space="preserve"> </w:t>
      </w:r>
      <w:r>
        <w:rPr>
          <w:rFonts w:hint="eastAsia" w:ascii="仿宋_GB2312" w:hAnsi="仿宋_GB2312" w:eastAsia="仿宋_GB2312" w:cs="仿宋_GB2312"/>
          <w:sz w:val="32"/>
          <w:szCs w:val="32"/>
          <w:u w:val="dotted"/>
        </w:rPr>
        <w:t xml:space="preserve"> </w:t>
      </w:r>
      <w:r>
        <w:rPr>
          <w:rFonts w:hint="eastAsia" w:ascii="仿宋_GB2312" w:hAnsi="仿宋_GB2312" w:eastAsia="仿宋_GB2312" w:cs="仿宋_GB2312"/>
          <w:w w:val="95"/>
          <w:sz w:val="32"/>
          <w:szCs w:val="32"/>
        </w:rPr>
        <w:t>8</w:t>
      </w:r>
    </w:p>
    <w:p>
      <w:pPr>
        <w:pStyle w:val="2"/>
        <w:spacing w:line="560" w:lineRule="exact"/>
        <w:jc w:val="both"/>
        <w:rPr>
          <w:rFonts w:ascii="仿宋_GB2312" w:hAnsi="仿宋_GB2312" w:eastAsia="仿宋_GB2312" w:cs="仿宋_GB2312"/>
          <w:b w:val="0"/>
          <w:bCs w:val="0"/>
          <w:sz w:val="32"/>
          <w:szCs w:val="32"/>
        </w:rPr>
      </w:pPr>
      <w:r>
        <w:rPr>
          <w:rFonts w:hint="eastAsia"/>
          <w:color w:val="000000"/>
          <w:sz w:val="32"/>
          <w:szCs w:val="32"/>
        </w:rPr>
        <w:t>第三章 指导思想和发展目标</w:t>
      </w:r>
      <w:r>
        <w:rPr>
          <w:rFonts w:hint="eastAsia"/>
          <w:color w:val="000000"/>
          <w:sz w:val="32"/>
          <w:szCs w:val="32"/>
          <w:u w:val="dotted"/>
        </w:rPr>
        <w:t xml:space="preserve">                       </w:t>
      </w:r>
      <w:r>
        <w:rPr>
          <w:rFonts w:hint="eastAsia" w:ascii="仿宋_GB2312" w:hAnsi="仿宋_GB2312" w:eastAsia="仿宋_GB2312" w:cs="仿宋_GB2312"/>
          <w:b w:val="0"/>
          <w:bCs w:val="0"/>
          <w:w w:val="95"/>
          <w:sz w:val="32"/>
          <w:szCs w:val="32"/>
        </w:rPr>
        <w:t>9</w:t>
      </w:r>
      <w:r>
        <w:rPr>
          <w:rFonts w:hint="eastAsia"/>
          <w:color w:val="000000"/>
          <w:sz w:val="32"/>
          <w:szCs w:val="32"/>
          <w:u w:val="dotted"/>
        </w:rPr>
        <w:t xml:space="preserve"> </w:t>
      </w:r>
      <w:r>
        <w:rPr>
          <w:rFonts w:hint="eastAsia" w:ascii="黑体" w:hAnsi="黑体" w:eastAsia="黑体" w:cs="黑体"/>
          <w:b w:val="0"/>
          <w:bCs w:val="0"/>
          <w:sz w:val="32"/>
          <w:szCs w:val="32"/>
        </w:rPr>
        <w:t>一、指导思想</w:t>
      </w:r>
      <w:r>
        <w:rPr>
          <w:rFonts w:hint="eastAsia" w:ascii="仿宋_GB2312" w:hAnsi="仿宋_GB2312" w:eastAsia="仿宋_GB2312" w:cs="仿宋_GB2312"/>
          <w:b w:val="0"/>
          <w:bCs w:val="0"/>
          <w:sz w:val="32"/>
          <w:szCs w:val="32"/>
          <w:u w:val="dotted"/>
        </w:rPr>
        <w:t xml:space="preserve">                                       </w:t>
      </w:r>
      <w:r>
        <w:rPr>
          <w:rFonts w:hint="eastAsia" w:ascii="仿宋_GB2312" w:hAnsi="仿宋_GB2312" w:eastAsia="仿宋_GB2312" w:cs="仿宋_GB2312"/>
          <w:b w:val="0"/>
          <w:bCs w:val="0"/>
          <w:w w:val="95"/>
          <w:sz w:val="32"/>
          <w:szCs w:val="32"/>
        </w:rPr>
        <w:t>9</w:t>
      </w:r>
    </w:p>
    <w:p>
      <w:pPr>
        <w:spacing w:line="560" w:lineRule="exact"/>
        <w:jc w:val="both"/>
        <w:rPr>
          <w:rFonts w:ascii="仿宋_GB2312" w:hAnsi="仿宋_GB2312" w:eastAsia="仿宋_GB2312" w:cs="仿宋_GB2312"/>
          <w:sz w:val="32"/>
          <w:szCs w:val="32"/>
        </w:rPr>
      </w:pPr>
      <w:r>
        <w:rPr>
          <w:rFonts w:hint="eastAsia" w:ascii="黑体" w:hAnsi="黑体" w:eastAsia="黑体" w:cs="黑体"/>
          <w:sz w:val="32"/>
          <w:szCs w:val="32"/>
        </w:rPr>
        <w:t>二、发展战略</w:t>
      </w:r>
      <w:r>
        <w:rPr>
          <w:rFonts w:hint="eastAsia" w:ascii="仿宋_GB2312" w:hAnsi="仿宋_GB2312" w:eastAsia="仿宋_GB2312" w:cs="仿宋_GB2312"/>
          <w:sz w:val="32"/>
          <w:szCs w:val="32"/>
          <w:u w:val="dotted"/>
        </w:rPr>
        <w:t xml:space="preserve">                                       </w:t>
      </w:r>
      <w:r>
        <w:rPr>
          <w:rFonts w:hint="eastAsia" w:ascii="仿宋_GB2312" w:hAnsi="仿宋_GB2312" w:eastAsia="仿宋_GB2312" w:cs="仿宋_GB2312"/>
          <w:w w:val="95"/>
          <w:sz w:val="32"/>
          <w:szCs w:val="32"/>
        </w:rPr>
        <w:t>9</w:t>
      </w:r>
    </w:p>
    <w:p>
      <w:pPr>
        <w:spacing w:line="560" w:lineRule="exact"/>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（一）一条战略原则</w:t>
      </w:r>
      <w:r>
        <w:rPr>
          <w:rFonts w:hint="eastAsia" w:ascii="仿宋_GB2312" w:hAnsi="仿宋_GB2312" w:eastAsia="仿宋_GB2312" w:cs="仿宋_GB2312"/>
          <w:sz w:val="32"/>
          <w:szCs w:val="32"/>
          <w:u w:val="dotted"/>
        </w:rPr>
        <w:t xml:space="preserve">                                 </w:t>
      </w:r>
      <w:r>
        <w:rPr>
          <w:rFonts w:hint="eastAsia" w:ascii="仿宋_GB2312" w:hAnsi="仿宋_GB2312" w:eastAsia="仿宋_GB2312" w:cs="仿宋_GB2312"/>
          <w:w w:val="95"/>
          <w:sz w:val="32"/>
          <w:szCs w:val="32"/>
        </w:rPr>
        <w:t>9</w:t>
      </w:r>
    </w:p>
    <w:p>
      <w:pPr>
        <w:spacing w:line="560" w:lineRule="exact"/>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（二）两条战略路径</w:t>
      </w:r>
      <w:r>
        <w:rPr>
          <w:rFonts w:hint="eastAsia" w:ascii="仿宋_GB2312" w:hAnsi="仿宋_GB2312" w:eastAsia="仿宋_GB2312" w:cs="仿宋_GB2312"/>
          <w:sz w:val="32"/>
          <w:szCs w:val="32"/>
          <w:u w:val="dotted"/>
        </w:rPr>
        <w:t xml:space="preserve">                                 </w:t>
      </w:r>
      <w:r>
        <w:rPr>
          <w:rFonts w:hint="eastAsia" w:ascii="仿宋_GB2312" w:hAnsi="仿宋_GB2312" w:eastAsia="仿宋_GB2312" w:cs="仿宋_GB2312"/>
          <w:w w:val="95"/>
          <w:sz w:val="32"/>
          <w:szCs w:val="32"/>
        </w:rPr>
        <w:t>9</w:t>
      </w:r>
    </w:p>
    <w:p>
      <w:pPr>
        <w:spacing w:line="560" w:lineRule="exact"/>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（三）三维战略框架</w:t>
      </w:r>
      <w:r>
        <w:rPr>
          <w:rFonts w:hint="eastAsia" w:ascii="仿宋_GB2312" w:hAnsi="仿宋_GB2312" w:eastAsia="仿宋_GB2312" w:cs="仿宋_GB2312"/>
          <w:sz w:val="32"/>
          <w:szCs w:val="32"/>
          <w:u w:val="dotted"/>
        </w:rPr>
        <w:t xml:space="preserve">                                </w:t>
      </w:r>
      <w:r>
        <w:rPr>
          <w:rFonts w:hint="eastAsia" w:ascii="仿宋_GB2312" w:hAnsi="仿宋_GB2312" w:eastAsia="仿宋_GB2312" w:cs="仿宋_GB2312"/>
          <w:sz w:val="32"/>
          <w:szCs w:val="32"/>
        </w:rPr>
        <w:t>10</w:t>
      </w:r>
    </w:p>
    <w:p>
      <w:pPr>
        <w:spacing w:line="560" w:lineRule="exact"/>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（四）四大战略任务</w:t>
      </w:r>
      <w:r>
        <w:rPr>
          <w:rFonts w:hint="eastAsia" w:ascii="仿宋_GB2312" w:hAnsi="仿宋_GB2312" w:eastAsia="仿宋_GB2312" w:cs="仿宋_GB2312"/>
          <w:sz w:val="32"/>
          <w:szCs w:val="32"/>
          <w:u w:val="dotted"/>
        </w:rPr>
        <w:t xml:space="preserve">                                </w:t>
      </w:r>
      <w:r>
        <w:rPr>
          <w:rFonts w:hint="eastAsia" w:ascii="仿宋_GB2312" w:hAnsi="仿宋_GB2312" w:eastAsia="仿宋_GB2312" w:cs="仿宋_GB2312"/>
          <w:sz w:val="32"/>
          <w:szCs w:val="32"/>
        </w:rPr>
        <w:t>10</w:t>
      </w:r>
    </w:p>
    <w:p>
      <w:pPr>
        <w:spacing w:line="560" w:lineRule="exact"/>
        <w:jc w:val="both"/>
        <w:rPr>
          <w:rFonts w:ascii="仿宋_GB2312" w:hAnsi="仿宋_GB2312" w:eastAsia="仿宋_GB2312" w:cs="仿宋_GB2312"/>
          <w:sz w:val="32"/>
          <w:szCs w:val="32"/>
        </w:rPr>
      </w:pPr>
      <w:r>
        <w:rPr>
          <w:rFonts w:hint="eastAsia" w:ascii="黑体" w:hAnsi="黑体" w:eastAsia="黑体" w:cs="黑体"/>
          <w:sz w:val="32"/>
          <w:szCs w:val="32"/>
        </w:rPr>
        <w:t>三、发展目标</w:t>
      </w:r>
      <w:r>
        <w:rPr>
          <w:rFonts w:hint="eastAsia" w:ascii="仿宋_GB2312" w:hAnsi="仿宋_GB2312" w:eastAsia="仿宋_GB2312" w:cs="仿宋_GB2312"/>
          <w:sz w:val="32"/>
          <w:szCs w:val="32"/>
          <w:u w:val="dotted"/>
        </w:rPr>
        <w:t xml:space="preserve">                                      </w:t>
      </w:r>
      <w:r>
        <w:rPr>
          <w:rFonts w:hint="eastAsia" w:ascii="仿宋_GB2312" w:hAnsi="仿宋_GB2312" w:eastAsia="仿宋_GB2312" w:cs="仿宋_GB2312"/>
          <w:sz w:val="32"/>
          <w:szCs w:val="32"/>
        </w:rPr>
        <w:t>11</w:t>
      </w:r>
    </w:p>
    <w:p>
      <w:pPr>
        <w:pStyle w:val="2"/>
        <w:spacing w:line="560" w:lineRule="exact"/>
        <w:jc w:val="both"/>
        <w:rPr>
          <w:rFonts w:ascii="仿宋_GB2312" w:hAnsi="仿宋_GB2312" w:eastAsia="仿宋_GB2312" w:cs="仿宋_GB2312"/>
          <w:b w:val="0"/>
          <w:bCs w:val="0"/>
          <w:sz w:val="32"/>
          <w:szCs w:val="32"/>
          <w:u w:val="dotted"/>
        </w:rPr>
      </w:pPr>
      <w:r>
        <w:rPr>
          <w:rFonts w:hint="eastAsia"/>
          <w:color w:val="000000"/>
          <w:w w:val="90"/>
          <w:sz w:val="32"/>
          <w:szCs w:val="32"/>
        </w:rPr>
        <w:t>第四章 “十四五”时期大兴区金融业发展的主要任务</w:t>
      </w:r>
      <w:r>
        <w:rPr>
          <w:rFonts w:hint="eastAsia" w:ascii="仿宋_GB2312" w:hAnsi="仿宋_GB2312" w:eastAsia="仿宋_GB2312" w:cs="仿宋_GB2312"/>
          <w:b w:val="0"/>
          <w:bCs w:val="0"/>
          <w:sz w:val="32"/>
          <w:szCs w:val="32"/>
          <w:u w:val="dotted"/>
        </w:rPr>
        <w:t xml:space="preserve">        </w:t>
      </w:r>
      <w:r>
        <w:rPr>
          <w:rFonts w:hint="eastAsia" w:ascii="仿宋_GB2312" w:hAnsi="仿宋_GB2312" w:eastAsia="仿宋_GB2312" w:cs="仿宋_GB2312"/>
          <w:b w:val="0"/>
          <w:bCs w:val="0"/>
          <w:sz w:val="32"/>
          <w:szCs w:val="32"/>
        </w:rPr>
        <w:t>13</w:t>
      </w:r>
    </w:p>
    <w:p>
      <w:pPr>
        <w:spacing w:line="560" w:lineRule="exact"/>
        <w:jc w:val="both"/>
        <w:rPr>
          <w:rFonts w:ascii="仿宋_GB2312" w:hAnsi="仿宋_GB2312" w:eastAsia="仿宋_GB2312" w:cs="仿宋_GB2312"/>
          <w:sz w:val="32"/>
          <w:szCs w:val="32"/>
        </w:rPr>
      </w:pPr>
      <w:r>
        <w:rPr>
          <w:rFonts w:hint="eastAsia" w:ascii="黑体" w:hAnsi="黑体" w:eastAsia="黑体" w:cs="黑体"/>
          <w:sz w:val="32"/>
          <w:szCs w:val="32"/>
        </w:rPr>
        <w:t>一、金融赋能“两区”建设</w:t>
      </w:r>
      <w:r>
        <w:rPr>
          <w:rFonts w:hint="eastAsia" w:ascii="仿宋_GB2312" w:hAnsi="仿宋_GB2312" w:eastAsia="仿宋_GB2312" w:cs="仿宋_GB2312"/>
          <w:sz w:val="32"/>
          <w:szCs w:val="32"/>
          <w:u w:val="dotted"/>
        </w:rPr>
        <w:t xml:space="preserve">                          </w:t>
      </w:r>
      <w:r>
        <w:rPr>
          <w:rFonts w:hint="eastAsia" w:ascii="仿宋_GB2312" w:hAnsi="仿宋_GB2312" w:eastAsia="仿宋_GB2312" w:cs="仿宋_GB2312"/>
          <w:sz w:val="32"/>
          <w:szCs w:val="32"/>
        </w:rPr>
        <w:t>13</w:t>
      </w:r>
    </w:p>
    <w:p>
      <w:pPr>
        <w:spacing w:line="560" w:lineRule="exact"/>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（一）促进金融产业发展</w:t>
      </w:r>
      <w:r>
        <w:rPr>
          <w:rFonts w:hint="eastAsia" w:ascii="仿宋_GB2312" w:hAnsi="仿宋_GB2312" w:eastAsia="仿宋_GB2312" w:cs="仿宋_GB2312"/>
          <w:sz w:val="32"/>
          <w:szCs w:val="32"/>
          <w:u w:val="dotted"/>
        </w:rPr>
        <w:t xml:space="preserve">                            </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3</w:t>
      </w:r>
    </w:p>
    <w:p>
      <w:pPr>
        <w:spacing w:line="560" w:lineRule="exact"/>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（二）推动金融聚集区建设</w:t>
      </w:r>
      <w:r>
        <w:rPr>
          <w:rFonts w:hint="eastAsia" w:ascii="仿宋_GB2312" w:hAnsi="仿宋_GB2312" w:eastAsia="仿宋_GB2312" w:cs="仿宋_GB2312"/>
          <w:sz w:val="32"/>
          <w:szCs w:val="32"/>
          <w:u w:val="dotted"/>
        </w:rPr>
        <w:t xml:space="preserve">                          </w:t>
      </w:r>
      <w:r>
        <w:rPr>
          <w:rFonts w:hint="eastAsia" w:ascii="仿宋_GB2312" w:hAnsi="仿宋_GB2312" w:eastAsia="仿宋_GB2312" w:cs="仿宋_GB2312"/>
          <w:sz w:val="32"/>
          <w:szCs w:val="32"/>
        </w:rPr>
        <w:t>13</w:t>
      </w:r>
    </w:p>
    <w:p>
      <w:pPr>
        <w:spacing w:line="560" w:lineRule="exact"/>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（三）金融支持“两区”建设</w:t>
      </w:r>
      <w:r>
        <w:rPr>
          <w:rFonts w:hint="eastAsia" w:ascii="仿宋_GB2312" w:hAnsi="仿宋_GB2312" w:eastAsia="仿宋_GB2312" w:cs="仿宋_GB2312"/>
          <w:sz w:val="32"/>
          <w:szCs w:val="32"/>
          <w:u w:val="dotted"/>
        </w:rPr>
        <w:t xml:space="preserve">         </w:t>
      </w:r>
      <w:r>
        <w:rPr>
          <w:rFonts w:ascii="仿宋_GB2312" w:hAnsi="仿宋_GB2312" w:eastAsia="仿宋_GB2312" w:cs="仿宋_GB2312"/>
          <w:sz w:val="32"/>
          <w:szCs w:val="32"/>
          <w:u w:val="dotted"/>
        </w:rPr>
        <w:t xml:space="preserve"> </w:t>
      </w:r>
      <w:r>
        <w:rPr>
          <w:rFonts w:hint="eastAsia" w:ascii="仿宋_GB2312" w:hAnsi="仿宋_GB2312" w:eastAsia="仿宋_GB2312" w:cs="仿宋_GB2312"/>
          <w:sz w:val="32"/>
          <w:szCs w:val="32"/>
          <w:u w:val="dotted"/>
        </w:rPr>
        <w:t xml:space="preserve">              </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3</w:t>
      </w:r>
    </w:p>
    <w:p>
      <w:pPr>
        <w:spacing w:line="56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（四）发展航空金融</w:t>
      </w:r>
      <w:r>
        <w:rPr>
          <w:rFonts w:hint="eastAsia" w:ascii="仿宋_GB2312" w:hAnsi="仿宋_GB2312" w:eastAsia="仿宋_GB2312" w:cs="仿宋_GB2312"/>
          <w:sz w:val="32"/>
          <w:szCs w:val="32"/>
          <w:u w:val="dotted"/>
        </w:rPr>
        <w:t xml:space="preserve">    </w:t>
      </w:r>
      <w:r>
        <w:rPr>
          <w:rFonts w:ascii="仿宋_GB2312" w:hAnsi="仿宋_GB2312" w:eastAsia="仿宋_GB2312" w:cs="仿宋_GB2312"/>
          <w:sz w:val="32"/>
          <w:szCs w:val="32"/>
          <w:u w:val="dotted"/>
        </w:rPr>
        <w:t xml:space="preserve">                        </w:t>
      </w:r>
      <w:r>
        <w:rPr>
          <w:rFonts w:hint="eastAsia" w:ascii="仿宋_GB2312" w:hAnsi="仿宋_GB2312" w:eastAsia="仿宋_GB2312" w:cs="仿宋_GB2312"/>
          <w:sz w:val="32"/>
          <w:szCs w:val="32"/>
          <w:u w:val="dotted"/>
        </w:rPr>
        <w:t xml:space="preserve">    </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5</w:t>
      </w:r>
    </w:p>
    <w:p>
      <w:pPr>
        <w:spacing w:line="560" w:lineRule="exact"/>
        <w:jc w:val="both"/>
        <w:rPr>
          <w:rFonts w:ascii="仿宋_GB2312" w:hAnsi="仿宋_GB2312" w:eastAsia="仿宋_GB2312" w:cs="仿宋_GB2312"/>
          <w:sz w:val="32"/>
          <w:szCs w:val="32"/>
        </w:rPr>
      </w:pPr>
      <w:r>
        <w:rPr>
          <w:rFonts w:hint="eastAsia" w:ascii="黑体" w:hAnsi="黑体" w:eastAsia="黑体" w:cs="黑体"/>
          <w:sz w:val="32"/>
          <w:szCs w:val="32"/>
        </w:rPr>
        <w:t>二、金融支持实体经济</w:t>
      </w:r>
      <w:r>
        <w:rPr>
          <w:rFonts w:hint="eastAsia" w:ascii="仿宋_GB2312" w:hAnsi="仿宋_GB2312" w:eastAsia="仿宋_GB2312" w:cs="仿宋_GB2312"/>
          <w:sz w:val="32"/>
          <w:szCs w:val="32"/>
          <w:u w:val="dotted"/>
        </w:rPr>
        <w:t xml:space="preserve">                              </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5</w:t>
      </w:r>
    </w:p>
    <w:p>
      <w:pPr>
        <w:spacing w:line="560" w:lineRule="exact"/>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（一）推进企业上市发展</w:t>
      </w:r>
      <w:r>
        <w:rPr>
          <w:rFonts w:hint="eastAsia" w:ascii="仿宋_GB2312" w:hAnsi="仿宋_GB2312" w:eastAsia="仿宋_GB2312" w:cs="仿宋_GB2312"/>
          <w:sz w:val="32"/>
          <w:szCs w:val="32"/>
          <w:u w:val="dotted"/>
        </w:rPr>
        <w:t xml:space="preserve">   </w:t>
      </w:r>
      <w:r>
        <w:rPr>
          <w:rFonts w:ascii="仿宋_GB2312" w:hAnsi="仿宋_GB2312" w:eastAsia="仿宋_GB2312" w:cs="仿宋_GB2312"/>
          <w:sz w:val="32"/>
          <w:szCs w:val="32"/>
          <w:u w:val="dotted"/>
        </w:rPr>
        <w:t xml:space="preserve">        </w:t>
      </w:r>
      <w:r>
        <w:rPr>
          <w:rFonts w:hint="eastAsia" w:ascii="仿宋_GB2312" w:hAnsi="仿宋_GB2312" w:eastAsia="仿宋_GB2312" w:cs="仿宋_GB2312"/>
          <w:sz w:val="32"/>
          <w:szCs w:val="32"/>
          <w:u w:val="dotted"/>
        </w:rPr>
        <w:t xml:space="preserve">                 </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5</w:t>
      </w:r>
    </w:p>
    <w:p>
      <w:pPr>
        <w:spacing w:line="560" w:lineRule="exact"/>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（二）金融支持重点产业发展</w:t>
      </w:r>
      <w:r>
        <w:rPr>
          <w:rFonts w:hint="eastAsia" w:ascii="仿宋_GB2312" w:hAnsi="仿宋_GB2312" w:eastAsia="仿宋_GB2312" w:cs="仿宋_GB2312"/>
          <w:sz w:val="32"/>
          <w:szCs w:val="32"/>
          <w:u w:val="dotted"/>
        </w:rPr>
        <w:t xml:space="preserve">   </w:t>
      </w:r>
      <w:r>
        <w:rPr>
          <w:rFonts w:ascii="仿宋_GB2312" w:hAnsi="仿宋_GB2312" w:eastAsia="仿宋_GB2312" w:cs="仿宋_GB2312"/>
          <w:sz w:val="32"/>
          <w:szCs w:val="32"/>
          <w:u w:val="dotted"/>
        </w:rPr>
        <w:t xml:space="preserve">    </w:t>
      </w:r>
      <w:r>
        <w:rPr>
          <w:rFonts w:hint="eastAsia" w:ascii="仿宋_GB2312" w:hAnsi="仿宋_GB2312" w:eastAsia="仿宋_GB2312" w:cs="仿宋_GB2312"/>
          <w:sz w:val="32"/>
          <w:szCs w:val="32"/>
          <w:u w:val="dotted"/>
        </w:rPr>
        <w:t xml:space="preserve">                 </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5</w:t>
      </w:r>
    </w:p>
    <w:p>
      <w:pPr>
        <w:spacing w:line="560" w:lineRule="exact"/>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（三）大力推进普惠金融</w:t>
      </w:r>
      <w:r>
        <w:rPr>
          <w:rFonts w:hint="eastAsia" w:ascii="仿宋_GB2312" w:hAnsi="仿宋_GB2312" w:eastAsia="仿宋_GB2312" w:cs="仿宋_GB2312"/>
          <w:sz w:val="32"/>
          <w:szCs w:val="32"/>
          <w:u w:val="dotted"/>
        </w:rPr>
        <w:t xml:space="preserve">     </w:t>
      </w:r>
      <w:r>
        <w:rPr>
          <w:rFonts w:ascii="仿宋_GB2312" w:hAnsi="仿宋_GB2312" w:eastAsia="仿宋_GB2312" w:cs="仿宋_GB2312"/>
          <w:sz w:val="32"/>
          <w:szCs w:val="32"/>
          <w:u w:val="dotted"/>
        </w:rPr>
        <w:t xml:space="preserve">    </w:t>
      </w:r>
      <w:r>
        <w:rPr>
          <w:rFonts w:hint="eastAsia" w:ascii="仿宋_GB2312" w:hAnsi="仿宋_GB2312" w:eastAsia="仿宋_GB2312" w:cs="仿宋_GB2312"/>
          <w:sz w:val="32"/>
          <w:szCs w:val="32"/>
          <w:u w:val="dotted"/>
        </w:rPr>
        <w:t xml:space="preserve">                   </w:t>
      </w:r>
      <w:r>
        <w:rPr>
          <w:rFonts w:hint="eastAsia" w:ascii="仿宋_GB2312" w:hAnsi="仿宋_GB2312" w:eastAsia="仿宋_GB2312" w:cs="仿宋_GB2312"/>
          <w:sz w:val="32"/>
          <w:szCs w:val="32"/>
        </w:rPr>
        <w:t>16</w:t>
      </w:r>
    </w:p>
    <w:p>
      <w:pPr>
        <w:spacing w:line="560" w:lineRule="exact"/>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（四）金融支持乡村振兴</w:t>
      </w:r>
      <w:r>
        <w:rPr>
          <w:rFonts w:hint="eastAsia" w:ascii="仿宋_GB2312" w:hAnsi="仿宋_GB2312" w:eastAsia="仿宋_GB2312" w:cs="仿宋_GB2312"/>
          <w:sz w:val="32"/>
          <w:szCs w:val="32"/>
          <w:u w:val="dotted"/>
        </w:rPr>
        <w:t xml:space="preserve">        </w:t>
      </w:r>
      <w:r>
        <w:rPr>
          <w:rFonts w:ascii="仿宋_GB2312" w:hAnsi="仿宋_GB2312" w:eastAsia="仿宋_GB2312" w:cs="仿宋_GB2312"/>
          <w:sz w:val="32"/>
          <w:szCs w:val="32"/>
          <w:u w:val="dotted"/>
        </w:rPr>
        <w:t xml:space="preserve">    </w:t>
      </w:r>
      <w:r>
        <w:rPr>
          <w:rFonts w:hint="eastAsia" w:ascii="仿宋_GB2312" w:hAnsi="仿宋_GB2312" w:eastAsia="仿宋_GB2312" w:cs="仿宋_GB2312"/>
          <w:sz w:val="32"/>
          <w:szCs w:val="32"/>
          <w:u w:val="dotted"/>
        </w:rPr>
        <w:t xml:space="preserve">                </w:t>
      </w:r>
      <w:r>
        <w:rPr>
          <w:rFonts w:hint="eastAsia" w:ascii="仿宋_GB2312" w:hAnsi="仿宋_GB2312" w:eastAsia="仿宋_GB2312" w:cs="仿宋_GB2312"/>
          <w:sz w:val="32"/>
          <w:szCs w:val="32"/>
        </w:rPr>
        <w:t>17</w:t>
      </w:r>
    </w:p>
    <w:p>
      <w:pPr>
        <w:spacing w:line="560" w:lineRule="exact"/>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（五）鼓励发展绿色金融</w:t>
      </w:r>
      <w:r>
        <w:rPr>
          <w:rFonts w:hint="eastAsia" w:ascii="仿宋_GB2312" w:hAnsi="仿宋_GB2312" w:eastAsia="仿宋_GB2312" w:cs="仿宋_GB2312"/>
          <w:sz w:val="32"/>
          <w:szCs w:val="32"/>
          <w:u w:val="dotted"/>
        </w:rPr>
        <w:t xml:space="preserve">                            </w:t>
      </w:r>
      <w:r>
        <w:rPr>
          <w:rFonts w:hint="eastAsia" w:ascii="仿宋_GB2312" w:hAnsi="仿宋_GB2312" w:eastAsia="仿宋_GB2312" w:cs="仿宋_GB2312"/>
          <w:sz w:val="32"/>
          <w:szCs w:val="32"/>
        </w:rPr>
        <w:t>18</w:t>
      </w:r>
    </w:p>
    <w:p>
      <w:pPr>
        <w:spacing w:line="560" w:lineRule="exact"/>
      </w:pPr>
      <w:r>
        <w:rPr>
          <w:rFonts w:hint="eastAsia" w:ascii="楷体_GB2312" w:hAnsi="楷体_GB2312" w:eastAsia="楷体_GB2312" w:cs="楷体_GB2312"/>
          <w:sz w:val="32"/>
          <w:szCs w:val="32"/>
        </w:rPr>
        <w:t>（六）金融支持基础设施建设</w:t>
      </w:r>
      <w:r>
        <w:rPr>
          <w:rFonts w:hint="eastAsia" w:ascii="仿宋_GB2312" w:hAnsi="仿宋_GB2312" w:eastAsia="仿宋_GB2312" w:cs="仿宋_GB2312"/>
          <w:sz w:val="32"/>
          <w:szCs w:val="32"/>
          <w:u w:val="dotted"/>
        </w:rPr>
        <w:t xml:space="preserve"> </w:t>
      </w:r>
      <w:r>
        <w:rPr>
          <w:rFonts w:ascii="仿宋_GB2312" w:hAnsi="仿宋_GB2312" w:eastAsia="仿宋_GB2312" w:cs="仿宋_GB2312"/>
          <w:sz w:val="32"/>
          <w:szCs w:val="32"/>
          <w:u w:val="dotted"/>
        </w:rPr>
        <w:t xml:space="preserve">   </w:t>
      </w:r>
      <w:r>
        <w:rPr>
          <w:rFonts w:hint="eastAsia" w:ascii="仿宋_GB2312" w:hAnsi="仿宋_GB2312" w:eastAsia="仿宋_GB2312" w:cs="仿宋_GB2312"/>
          <w:sz w:val="32"/>
          <w:szCs w:val="32"/>
          <w:u w:val="dotted"/>
        </w:rPr>
        <w:t xml:space="preserve">                    </w:t>
      </w:r>
      <w:r>
        <w:rPr>
          <w:rFonts w:hint="eastAsia" w:ascii="仿宋_GB2312" w:hAnsi="仿宋_GB2312" w:eastAsia="仿宋_GB2312" w:cs="仿宋_GB2312"/>
          <w:sz w:val="32"/>
          <w:szCs w:val="32"/>
        </w:rPr>
        <w:t>18</w:t>
      </w:r>
    </w:p>
    <w:p>
      <w:pPr>
        <w:spacing w:line="560" w:lineRule="exact"/>
        <w:jc w:val="both"/>
        <w:rPr>
          <w:rFonts w:ascii="仿宋_GB2312" w:hAnsi="仿宋_GB2312" w:eastAsia="仿宋_GB2312" w:cs="仿宋_GB2312"/>
          <w:sz w:val="32"/>
          <w:szCs w:val="32"/>
        </w:rPr>
      </w:pPr>
      <w:r>
        <w:rPr>
          <w:rFonts w:hint="eastAsia" w:ascii="黑体" w:hAnsi="黑体" w:eastAsia="黑体" w:cs="黑体"/>
          <w:sz w:val="32"/>
          <w:szCs w:val="32"/>
        </w:rPr>
        <w:t>三、推进金融科技加快发展与应用</w:t>
      </w:r>
      <w:r>
        <w:rPr>
          <w:rFonts w:hint="eastAsia" w:ascii="仿宋_GB2312" w:hAnsi="仿宋_GB2312" w:eastAsia="仿宋_GB2312" w:cs="仿宋_GB2312"/>
          <w:sz w:val="32"/>
          <w:szCs w:val="32"/>
          <w:u w:val="dotted"/>
        </w:rPr>
        <w:t xml:space="preserve">   </w:t>
      </w:r>
      <w:r>
        <w:rPr>
          <w:rFonts w:ascii="仿宋_GB2312" w:hAnsi="仿宋_GB2312" w:eastAsia="仿宋_GB2312" w:cs="仿宋_GB2312"/>
          <w:sz w:val="32"/>
          <w:szCs w:val="32"/>
          <w:u w:val="dotted"/>
        </w:rPr>
        <w:t xml:space="preserve">  </w:t>
      </w:r>
      <w:r>
        <w:rPr>
          <w:rFonts w:hint="eastAsia" w:ascii="仿宋_GB2312" w:hAnsi="仿宋_GB2312" w:eastAsia="仿宋_GB2312" w:cs="仿宋_GB2312"/>
          <w:sz w:val="32"/>
          <w:szCs w:val="32"/>
          <w:u w:val="dotted"/>
        </w:rPr>
        <w:t xml:space="preserve">               </w:t>
      </w:r>
      <w:r>
        <w:rPr>
          <w:rFonts w:hint="eastAsia" w:ascii="仿宋_GB2312" w:hAnsi="仿宋_GB2312" w:eastAsia="仿宋_GB2312" w:cs="仿宋_GB2312"/>
          <w:sz w:val="32"/>
          <w:szCs w:val="32"/>
        </w:rPr>
        <w:t>19</w:t>
      </w:r>
    </w:p>
    <w:p>
      <w:pPr>
        <w:spacing w:line="560" w:lineRule="exact"/>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（一）金融科技与监管创新</w:t>
      </w:r>
      <w:r>
        <w:rPr>
          <w:rFonts w:hint="eastAsia" w:ascii="仿宋_GB2312" w:hAnsi="仿宋_GB2312" w:eastAsia="仿宋_GB2312" w:cs="仿宋_GB2312"/>
          <w:sz w:val="32"/>
          <w:szCs w:val="32"/>
          <w:u w:val="dotted"/>
        </w:rPr>
        <w:t xml:space="preserve">                          </w:t>
      </w:r>
      <w:r>
        <w:rPr>
          <w:rFonts w:hint="eastAsia" w:ascii="仿宋_GB2312" w:hAnsi="仿宋_GB2312" w:eastAsia="仿宋_GB2312" w:cs="仿宋_GB2312"/>
          <w:sz w:val="32"/>
          <w:szCs w:val="32"/>
        </w:rPr>
        <w:t>19</w:t>
      </w:r>
    </w:p>
    <w:p>
      <w:pPr>
        <w:spacing w:line="560" w:lineRule="exact"/>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（二）打造金融科技产学研一体化合作平台</w:t>
      </w:r>
      <w:r>
        <w:rPr>
          <w:rFonts w:hint="eastAsia" w:ascii="仿宋_GB2312" w:hAnsi="仿宋_GB2312" w:eastAsia="仿宋_GB2312" w:cs="仿宋_GB2312"/>
          <w:sz w:val="32"/>
          <w:szCs w:val="32"/>
          <w:u w:val="dotted"/>
        </w:rPr>
        <w:t xml:space="preserve">            </w:t>
      </w:r>
      <w:r>
        <w:rPr>
          <w:rFonts w:hint="eastAsia" w:ascii="仿宋_GB2312" w:hAnsi="仿宋_GB2312" w:eastAsia="仿宋_GB2312" w:cs="仿宋_GB2312"/>
          <w:sz w:val="32"/>
          <w:szCs w:val="32"/>
        </w:rPr>
        <w:t>19</w:t>
      </w:r>
    </w:p>
    <w:p>
      <w:pPr>
        <w:spacing w:line="560" w:lineRule="exact"/>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（三）加大“金融+科技”人才培养力度</w:t>
      </w:r>
      <w:r>
        <w:rPr>
          <w:rFonts w:hint="eastAsia" w:ascii="仿宋_GB2312" w:hAnsi="仿宋_GB2312" w:eastAsia="仿宋_GB2312" w:cs="仿宋_GB2312"/>
          <w:sz w:val="32"/>
          <w:szCs w:val="32"/>
          <w:u w:val="dotted"/>
        </w:rPr>
        <w:t xml:space="preserve">               </w:t>
      </w:r>
      <w:r>
        <w:rPr>
          <w:rFonts w:hint="eastAsia" w:ascii="仿宋_GB2312" w:hAnsi="仿宋_GB2312" w:eastAsia="仿宋_GB2312" w:cs="仿宋_GB2312"/>
          <w:sz w:val="32"/>
          <w:szCs w:val="32"/>
        </w:rPr>
        <w:t>19</w:t>
      </w:r>
    </w:p>
    <w:p>
      <w:pPr>
        <w:spacing w:line="560" w:lineRule="exact"/>
        <w:jc w:val="both"/>
        <w:rPr>
          <w:rFonts w:ascii="仿宋_GB2312" w:hAnsi="仿宋_GB2312" w:eastAsia="仿宋_GB2312" w:cs="仿宋_GB2312"/>
          <w:sz w:val="32"/>
          <w:szCs w:val="32"/>
        </w:rPr>
      </w:pPr>
      <w:r>
        <w:rPr>
          <w:rFonts w:hint="eastAsia" w:ascii="黑体" w:hAnsi="黑体" w:eastAsia="黑体" w:cs="黑体"/>
          <w:sz w:val="32"/>
          <w:szCs w:val="32"/>
        </w:rPr>
        <w:t>四、加强金融风险防范</w:t>
      </w:r>
      <w:r>
        <w:rPr>
          <w:rFonts w:hint="eastAsia" w:ascii="仿宋_GB2312" w:hAnsi="仿宋_GB2312" w:eastAsia="仿宋_GB2312" w:cs="仿宋_GB2312"/>
          <w:sz w:val="32"/>
          <w:szCs w:val="32"/>
          <w:u w:val="dotted"/>
        </w:rPr>
        <w:t xml:space="preserve">                              </w:t>
      </w:r>
      <w:r>
        <w:rPr>
          <w:rFonts w:hint="eastAsia" w:ascii="仿宋_GB2312" w:hAnsi="仿宋_GB2312" w:eastAsia="仿宋_GB2312" w:cs="仿宋_GB2312"/>
          <w:sz w:val="32"/>
          <w:szCs w:val="32"/>
        </w:rPr>
        <w:t>20</w:t>
      </w:r>
    </w:p>
    <w:p>
      <w:pPr>
        <w:spacing w:line="560" w:lineRule="exact"/>
        <w:jc w:val="both"/>
        <w:rPr>
          <w:rFonts w:ascii="楷体_GB2312" w:hAnsi="楷体_GB2312" w:eastAsia="楷体_GB2312" w:cs="楷体_GB2312"/>
          <w:sz w:val="32"/>
          <w:szCs w:val="32"/>
          <w:u w:val="dotted"/>
        </w:rPr>
      </w:pPr>
      <w:r>
        <w:rPr>
          <w:rFonts w:hint="eastAsia" w:ascii="楷体_GB2312" w:hAnsi="楷体_GB2312" w:eastAsia="楷体_GB2312" w:cs="楷体_GB2312"/>
          <w:sz w:val="32"/>
          <w:szCs w:val="32"/>
        </w:rPr>
        <w:t>（一）金融风险监测与</w:t>
      </w:r>
      <w:r>
        <w:rPr>
          <w:rFonts w:hint="eastAsia" w:ascii="楷体_GB2312" w:hAnsi="楷体_GB2312" w:eastAsia="楷体_GB2312" w:cs="楷体_GB2312"/>
          <w:color w:val="000000"/>
          <w:sz w:val="32"/>
        </w:rPr>
        <w:t>源头</w:t>
      </w:r>
      <w:r>
        <w:rPr>
          <w:rFonts w:hint="eastAsia" w:ascii="楷体_GB2312" w:hAnsi="楷体_GB2312" w:eastAsia="楷体_GB2312" w:cs="楷体_GB2312"/>
          <w:sz w:val="32"/>
          <w:szCs w:val="32"/>
        </w:rPr>
        <w:t>防范</w:t>
      </w:r>
      <w:r>
        <w:rPr>
          <w:rFonts w:hint="eastAsia" w:ascii="仿宋_GB2312" w:hAnsi="仿宋_GB2312" w:eastAsia="仿宋_GB2312" w:cs="仿宋_GB2312"/>
          <w:sz w:val="32"/>
          <w:szCs w:val="32"/>
          <w:u w:val="dotted"/>
        </w:rPr>
        <w:t xml:space="preserve">                      </w:t>
      </w:r>
      <w:r>
        <w:rPr>
          <w:rFonts w:hint="eastAsia" w:ascii="仿宋_GB2312" w:hAnsi="仿宋_GB2312" w:eastAsia="仿宋_GB2312" w:cs="仿宋_GB2312"/>
          <w:sz w:val="32"/>
          <w:szCs w:val="32"/>
        </w:rPr>
        <w:t>20</w:t>
      </w:r>
      <w:r>
        <w:rPr>
          <w:rFonts w:hint="eastAsia" w:ascii="楷体_GB2312" w:hAnsi="楷体_GB2312" w:eastAsia="楷体_GB2312" w:cs="楷体_GB2312"/>
          <w:sz w:val="32"/>
          <w:szCs w:val="32"/>
        </w:rPr>
        <w:t>（二）落实《处非条例》职责任务</w:t>
      </w:r>
      <w:r>
        <w:rPr>
          <w:rFonts w:hint="eastAsia" w:ascii="楷体_GB2312" w:hAnsi="楷体_GB2312" w:eastAsia="楷体_GB2312" w:cs="楷体_GB2312"/>
          <w:sz w:val="32"/>
          <w:szCs w:val="32"/>
          <w:u w:val="dotted"/>
        </w:rPr>
        <w:t xml:space="preserve">                    </w:t>
      </w:r>
      <w:r>
        <w:rPr>
          <w:rFonts w:hint="eastAsia" w:ascii="仿宋_GB2312" w:hAnsi="仿宋_GB2312" w:eastAsia="仿宋_GB2312" w:cs="仿宋_GB2312"/>
          <w:sz w:val="32"/>
          <w:szCs w:val="32"/>
        </w:rPr>
        <w:t>20</w:t>
      </w:r>
    </w:p>
    <w:p>
      <w:pPr>
        <w:pStyle w:val="2"/>
        <w:spacing w:line="560" w:lineRule="exact"/>
        <w:jc w:val="both"/>
        <w:rPr>
          <w:rFonts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（三）推动金融安全宣传</w:t>
      </w:r>
      <w:r>
        <w:rPr>
          <w:rFonts w:hint="eastAsia" w:ascii="仿宋_GB2312" w:hAnsi="仿宋_GB2312" w:eastAsia="仿宋_GB2312" w:cs="仿宋_GB2312"/>
          <w:b w:val="0"/>
          <w:bCs w:val="0"/>
          <w:sz w:val="32"/>
          <w:szCs w:val="32"/>
          <w:u w:val="dotted"/>
        </w:rPr>
        <w:t xml:space="preserve">              </w:t>
      </w:r>
      <w:r>
        <w:rPr>
          <w:rFonts w:ascii="仿宋_GB2312" w:hAnsi="仿宋_GB2312" w:eastAsia="仿宋_GB2312" w:cs="仿宋_GB2312"/>
          <w:b w:val="0"/>
          <w:bCs w:val="0"/>
          <w:sz w:val="32"/>
          <w:szCs w:val="32"/>
          <w:u w:val="dotted"/>
        </w:rPr>
        <w:t xml:space="preserve"> </w:t>
      </w:r>
      <w:r>
        <w:rPr>
          <w:rFonts w:hint="eastAsia" w:ascii="仿宋_GB2312" w:hAnsi="仿宋_GB2312" w:eastAsia="仿宋_GB2312" w:cs="仿宋_GB2312"/>
          <w:b w:val="0"/>
          <w:bCs w:val="0"/>
          <w:sz w:val="32"/>
          <w:szCs w:val="32"/>
          <w:u w:val="dotted"/>
        </w:rPr>
        <w:t xml:space="preserve">             </w:t>
      </w:r>
      <w:r>
        <w:rPr>
          <w:rFonts w:hint="eastAsia" w:ascii="仿宋_GB2312" w:hAnsi="仿宋_GB2312" w:eastAsia="仿宋_GB2312" w:cs="仿宋_GB2312"/>
          <w:b w:val="0"/>
          <w:bCs w:val="0"/>
          <w:sz w:val="32"/>
          <w:szCs w:val="32"/>
        </w:rPr>
        <w:t>20</w:t>
      </w:r>
    </w:p>
    <w:p>
      <w:pPr>
        <w:pStyle w:val="2"/>
        <w:spacing w:line="560" w:lineRule="exact"/>
        <w:jc w:val="both"/>
        <w:rPr>
          <w:rFonts w:ascii="楷体_GB2312" w:hAnsi="楷体_GB2312" w:eastAsia="楷体_GB2312" w:cs="楷体_GB2312"/>
          <w:b w:val="0"/>
          <w:bCs w:val="0"/>
          <w:sz w:val="32"/>
          <w:szCs w:val="32"/>
        </w:rPr>
      </w:pPr>
      <w:r>
        <w:rPr>
          <w:rFonts w:hint="eastAsia"/>
          <w:color w:val="000000"/>
          <w:w w:val="90"/>
          <w:sz w:val="32"/>
          <w:szCs w:val="32"/>
        </w:rPr>
        <w:t>第五章 规划实施保障措施</w:t>
      </w:r>
      <w:r>
        <w:rPr>
          <w:rFonts w:hint="eastAsia" w:ascii="楷体_GB2312" w:hAnsi="楷体_GB2312" w:eastAsia="楷体_GB2312" w:cs="楷体_GB2312"/>
          <w:b w:val="0"/>
          <w:bCs w:val="0"/>
          <w:w w:val="90"/>
          <w:sz w:val="32"/>
          <w:szCs w:val="32"/>
          <w:u w:val="dotted"/>
        </w:rPr>
        <w:t xml:space="preserve"> </w:t>
      </w:r>
      <w:r>
        <w:rPr>
          <w:rFonts w:hint="eastAsia" w:ascii="楷体_GB2312" w:hAnsi="楷体_GB2312" w:eastAsia="楷体_GB2312" w:cs="楷体_GB2312"/>
          <w:b w:val="0"/>
          <w:bCs w:val="0"/>
          <w:sz w:val="32"/>
          <w:szCs w:val="32"/>
          <w:u w:val="dotted"/>
        </w:rPr>
        <w:t xml:space="preserve">   </w:t>
      </w:r>
      <w:r>
        <w:rPr>
          <w:rFonts w:ascii="楷体_GB2312" w:hAnsi="楷体_GB2312" w:eastAsia="楷体_GB2312" w:cs="楷体_GB2312"/>
          <w:b w:val="0"/>
          <w:bCs w:val="0"/>
          <w:sz w:val="32"/>
          <w:szCs w:val="32"/>
          <w:u w:val="dotted"/>
        </w:rPr>
        <w:t xml:space="preserve">   </w:t>
      </w:r>
      <w:r>
        <w:rPr>
          <w:rFonts w:hint="eastAsia" w:ascii="楷体_GB2312" w:hAnsi="楷体_GB2312" w:eastAsia="楷体_GB2312" w:cs="楷体_GB2312"/>
          <w:b w:val="0"/>
          <w:bCs w:val="0"/>
          <w:sz w:val="32"/>
          <w:szCs w:val="32"/>
          <w:u w:val="dotted"/>
        </w:rPr>
        <w:t xml:space="preserve">                      </w:t>
      </w:r>
      <w:r>
        <w:rPr>
          <w:rFonts w:hint="eastAsia" w:ascii="楷体_GB2312" w:hAnsi="楷体_GB2312" w:eastAsia="楷体_GB2312" w:cs="楷体_GB2312"/>
          <w:b w:val="0"/>
          <w:bCs w:val="0"/>
          <w:sz w:val="32"/>
          <w:szCs w:val="32"/>
        </w:rPr>
        <w:t>21</w:t>
      </w:r>
    </w:p>
    <w:p>
      <w:pPr>
        <w:spacing w:line="560" w:lineRule="exact"/>
        <w:rPr>
          <w:rFonts w:ascii="仿宋_GB2312" w:hAnsi="仿宋_GB2312" w:eastAsia="仿宋_GB2312" w:cs="仿宋_GB2312"/>
          <w:sz w:val="32"/>
          <w:szCs w:val="32"/>
        </w:rPr>
      </w:pPr>
      <w:r>
        <w:rPr>
          <w:rFonts w:hint="eastAsia" w:ascii="黑体" w:hAnsi="黑体" w:eastAsia="黑体" w:cs="黑体"/>
          <w:sz w:val="32"/>
          <w:szCs w:val="32"/>
        </w:rPr>
        <w:t>一、合理把握规划实施中的刚性与弹性</w:t>
      </w:r>
      <w:r>
        <w:rPr>
          <w:rFonts w:hint="eastAsia" w:ascii="仿宋_GB2312" w:hAnsi="仿宋_GB2312" w:eastAsia="仿宋_GB2312" w:cs="仿宋_GB2312"/>
          <w:sz w:val="32"/>
          <w:szCs w:val="32"/>
          <w:u w:val="dotted"/>
        </w:rPr>
        <w:t xml:space="preserve">                </w:t>
      </w:r>
      <w:r>
        <w:rPr>
          <w:rFonts w:hint="eastAsia" w:ascii="仿宋_GB2312" w:hAnsi="仿宋_GB2312" w:eastAsia="仿宋_GB2312" w:cs="仿宋_GB2312"/>
          <w:sz w:val="32"/>
          <w:szCs w:val="32"/>
        </w:rPr>
        <w:t>21</w:t>
      </w:r>
    </w:p>
    <w:p>
      <w:pPr>
        <w:spacing w:line="560" w:lineRule="exact"/>
        <w:jc w:val="both"/>
        <w:rPr>
          <w:rFonts w:ascii="仿宋_GB2312" w:hAnsi="仿宋_GB2312" w:eastAsia="仿宋_GB2312" w:cs="仿宋_GB2312"/>
          <w:sz w:val="32"/>
          <w:szCs w:val="32"/>
        </w:rPr>
      </w:pPr>
      <w:r>
        <w:rPr>
          <w:rFonts w:hint="eastAsia" w:ascii="黑体" w:hAnsi="黑体" w:eastAsia="黑体" w:cs="黑体"/>
          <w:sz w:val="32"/>
          <w:szCs w:val="32"/>
        </w:rPr>
        <w:t>二、要有效覆盖全局同时突出工作重点</w:t>
      </w:r>
      <w:r>
        <w:rPr>
          <w:rFonts w:hint="eastAsia" w:ascii="仿宋_GB2312" w:hAnsi="仿宋_GB2312" w:eastAsia="仿宋_GB2312" w:cs="仿宋_GB2312"/>
          <w:sz w:val="32"/>
          <w:szCs w:val="32"/>
          <w:u w:val="dotted"/>
        </w:rPr>
        <w:t xml:space="preserve">                </w:t>
      </w:r>
      <w:r>
        <w:rPr>
          <w:rFonts w:hint="eastAsia" w:ascii="仿宋_GB2312" w:hAnsi="仿宋_GB2312" w:eastAsia="仿宋_GB2312" w:cs="仿宋_GB2312"/>
          <w:sz w:val="32"/>
          <w:szCs w:val="32"/>
        </w:rPr>
        <w:t>21</w:t>
      </w:r>
    </w:p>
    <w:p>
      <w:pPr>
        <w:spacing w:line="560" w:lineRule="exact"/>
        <w:jc w:val="both"/>
      </w:pPr>
      <w:r>
        <w:rPr>
          <w:rFonts w:hint="eastAsia" w:ascii="黑体" w:hAnsi="黑体" w:eastAsia="黑体" w:cs="黑体"/>
          <w:sz w:val="32"/>
          <w:szCs w:val="32"/>
        </w:rPr>
        <w:t>三、完善规划落实机制</w:t>
      </w:r>
      <w:r>
        <w:rPr>
          <w:rFonts w:hint="eastAsia" w:ascii="仿宋_GB2312" w:hAnsi="仿宋_GB2312" w:eastAsia="仿宋_GB2312" w:cs="仿宋_GB2312"/>
          <w:sz w:val="32"/>
          <w:szCs w:val="32"/>
          <w:u w:val="dotted"/>
        </w:rPr>
        <w:t xml:space="preserve">                              </w:t>
      </w:r>
      <w:r>
        <w:rPr>
          <w:rFonts w:hint="eastAsia" w:ascii="仿宋_GB2312" w:hAnsi="仿宋_GB2312" w:eastAsia="仿宋_GB2312" w:cs="仿宋_GB2312"/>
          <w:sz w:val="32"/>
          <w:szCs w:val="32"/>
        </w:rPr>
        <w:t>2</w:t>
      </w:r>
      <w:bookmarkStart w:id="0" w:name="_Toc57362152"/>
      <w:bookmarkStart w:id="1" w:name="_Toc22313"/>
      <w:bookmarkStart w:id="2" w:name="_Toc59789931"/>
      <w:bookmarkStart w:id="3" w:name="_Toc25093"/>
      <w:bookmarkStart w:id="4" w:name="_Toc57057578"/>
      <w:r>
        <w:rPr>
          <w:rFonts w:hint="eastAsia" w:ascii="仿宋_GB2312" w:hAnsi="仿宋_GB2312" w:eastAsia="仿宋_GB2312" w:cs="仿宋_GB2312"/>
          <w:sz w:val="32"/>
          <w:szCs w:val="32"/>
        </w:rPr>
        <w:t>2</w:t>
      </w:r>
    </w:p>
    <w:p>
      <w:pPr>
        <w:spacing w:line="560" w:lineRule="exact"/>
        <w:rPr>
          <w:rFonts w:ascii="仿宋_GB2312" w:hAnsi="仿宋_GB2312" w:eastAsia="仿宋_GB2312" w:cs="仿宋_GB2312"/>
          <w:sz w:val="32"/>
          <w:szCs w:val="32"/>
        </w:rPr>
      </w:pPr>
      <w:r>
        <w:rPr>
          <w:rFonts w:hint="eastAsia"/>
          <w:b/>
          <w:bCs/>
          <w:color w:val="000000"/>
          <w:sz w:val="32"/>
          <w:szCs w:val="32"/>
        </w:rPr>
        <w:t>附录：名词解释</w:t>
      </w:r>
      <w:r>
        <w:rPr>
          <w:rFonts w:hint="eastAsia"/>
          <w:b/>
          <w:bCs/>
          <w:color w:val="000000"/>
          <w:sz w:val="32"/>
          <w:szCs w:val="32"/>
          <w:u w:val="dotted"/>
        </w:rPr>
        <w:t xml:space="preserve">          </w:t>
      </w:r>
      <w:r>
        <w:rPr>
          <w:rFonts w:hint="eastAsia" w:ascii="仿宋_GB2312" w:hAnsi="仿宋_GB2312" w:eastAsia="仿宋_GB2312" w:cs="仿宋_GB2312"/>
          <w:sz w:val="32"/>
          <w:szCs w:val="32"/>
          <w:u w:val="dotted"/>
        </w:rPr>
        <w:t xml:space="preserve">                          </w:t>
      </w:r>
      <w:r>
        <w:rPr>
          <w:rFonts w:hint="eastAsia" w:ascii="仿宋_GB2312" w:hAnsi="仿宋_GB2312" w:eastAsia="仿宋_GB2312" w:cs="仿宋_GB2312"/>
          <w:sz w:val="32"/>
          <w:szCs w:val="32"/>
        </w:rPr>
        <w:t>23</w:t>
      </w:r>
    </w:p>
    <w:p>
      <w:pPr>
        <w:pStyle w:val="25"/>
        <w:rPr>
          <w:rFonts w:ascii="仿宋_GB2312" w:hAnsi="仿宋_GB2312" w:cs="仿宋_GB2312"/>
          <w:szCs w:val="32"/>
        </w:rPr>
      </w:pPr>
    </w:p>
    <w:p>
      <w:pPr>
        <w:sectPr>
          <w:footerReference r:id="rId3" w:type="default"/>
          <w:footerReference r:id="rId4" w:type="even"/>
          <w:pgSz w:w="11900" w:h="16840"/>
          <w:pgMar w:top="1440" w:right="1800" w:bottom="1440" w:left="1800" w:header="851" w:footer="992" w:gutter="0"/>
          <w:pgNumType w:fmt="numberInDash" w:start="1"/>
          <w:cols w:space="720" w:num="1"/>
          <w:docGrid w:type="lines" w:linePitch="326" w:charSpace="0"/>
        </w:sectPr>
      </w:pPr>
    </w:p>
    <w:p>
      <w:pPr>
        <w:pStyle w:val="3"/>
        <w:spacing w:before="0" w:after="489" w:afterLines="150" w:line="560" w:lineRule="exact"/>
        <w:jc w:val="center"/>
        <w:rPr>
          <w:color w:val="000000"/>
          <w:sz w:val="36"/>
          <w:szCs w:val="52"/>
        </w:rPr>
      </w:pPr>
      <w:r>
        <w:rPr>
          <w:rFonts w:hint="eastAsia"/>
          <w:color w:val="000000"/>
          <w:sz w:val="36"/>
          <w:szCs w:val="52"/>
        </w:rPr>
        <w:t>第一章 “十三五”时期大兴区金融发展</w:t>
      </w:r>
      <w:bookmarkEnd w:id="0"/>
      <w:bookmarkEnd w:id="1"/>
      <w:bookmarkEnd w:id="2"/>
      <w:bookmarkEnd w:id="3"/>
      <w:r>
        <w:rPr>
          <w:rFonts w:hint="eastAsia"/>
          <w:color w:val="000000"/>
          <w:sz w:val="36"/>
          <w:szCs w:val="52"/>
        </w:rPr>
        <w:t>回顾</w:t>
      </w:r>
    </w:p>
    <w:p>
      <w:pPr>
        <w:adjustRightInd w:val="0"/>
        <w:snapToGrid w:val="0"/>
        <w:spacing w:line="560" w:lineRule="exact"/>
        <w:ind w:firstLine="640" w:firstLineChars="200"/>
        <w:jc w:val="both"/>
        <w:rPr>
          <w:rFonts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十三五”期间，大兴区全面贯彻落实党的十九大精神，坚持创新、协调、绿色、开放、共享的新发展理念，不断发展“农村金融”和“产业金融”服务体系，围绕金融体系建设和金融促进实体经济发展两个关键点，在推进大兴区金融业健康发展，京津冀协同发展，高精尖产业战略转型，临空经济区、自由贸易试验区（以下简称自贸区）、综合保税区建设和农村金融改革创新的进程中做出突出贡献，</w:t>
      </w:r>
      <w:r>
        <w:rPr>
          <w:rFonts w:hint="eastAsia" w:ascii="Times New Roman" w:hAnsi="Times New Roman" w:eastAsia="仿宋_GB2312" w:cs="Times New Roman"/>
          <w:color w:val="000000"/>
          <w:sz w:val="32"/>
          <w:szCs w:val="32"/>
        </w:rPr>
        <w:t>为建设一体化、高端化、国际化的宜居宜业和谐大兴提供金融保障。</w:t>
      </w:r>
    </w:p>
    <w:p>
      <w:pPr>
        <w:pStyle w:val="4"/>
        <w:spacing w:before="0" w:after="0" w:line="560" w:lineRule="exact"/>
        <w:ind w:firstLine="640" w:firstLineChars="200"/>
        <w:jc w:val="both"/>
        <w:rPr>
          <w:rFonts w:ascii="黑体" w:hAnsi="黑体"/>
          <w:b w:val="0"/>
          <w:bCs w:val="0"/>
          <w:color w:val="000000"/>
          <w:sz w:val="32"/>
        </w:rPr>
      </w:pPr>
      <w:bookmarkStart w:id="5" w:name="_Toc29659"/>
      <w:bookmarkStart w:id="6" w:name="_Toc57057557"/>
      <w:bookmarkStart w:id="7" w:name="_Toc31713"/>
      <w:bookmarkStart w:id="8" w:name="_Toc59789933"/>
      <w:bookmarkStart w:id="9" w:name="_Toc57362154"/>
      <w:r>
        <w:rPr>
          <w:rFonts w:hint="eastAsia" w:ascii="黑体" w:hAnsi="黑体"/>
          <w:b w:val="0"/>
          <w:bCs w:val="0"/>
          <w:color w:val="000000"/>
          <w:sz w:val="32"/>
        </w:rPr>
        <w:t>一、金融业综合实力不断增强</w:t>
      </w:r>
      <w:bookmarkEnd w:id="5"/>
      <w:bookmarkEnd w:id="6"/>
      <w:bookmarkEnd w:id="7"/>
      <w:bookmarkEnd w:id="8"/>
      <w:bookmarkEnd w:id="9"/>
    </w:p>
    <w:p>
      <w:pPr>
        <w:spacing w:line="560" w:lineRule="exact"/>
        <w:ind w:firstLine="643" w:firstLineChars="200"/>
        <w:jc w:val="both"/>
        <w:rPr>
          <w:rFonts w:ascii="仿宋_GB2312" w:hAnsi="仿宋_GB2312" w:eastAsia="仿宋_GB2312" w:cs="仿宋_GB2312"/>
          <w:color w:val="000000"/>
          <w:sz w:val="32"/>
          <w:szCs w:val="32"/>
        </w:rPr>
      </w:pPr>
      <w:bookmarkStart w:id="10" w:name="_Toc57057558"/>
      <w:r>
        <w:rPr>
          <w:rFonts w:hint="eastAsia" w:ascii="仿宋_GB2312" w:hAnsi="仿宋_GB2312" w:eastAsia="仿宋_GB2312" w:cs="仿宋_GB2312"/>
          <w:b/>
          <w:bCs/>
          <w:color w:val="000000"/>
          <w:sz w:val="32"/>
          <w:szCs w:val="32"/>
        </w:rPr>
        <w:t>金融供给持续增加。</w:t>
      </w:r>
      <w:r>
        <w:rPr>
          <w:rFonts w:hint="eastAsia" w:ascii="仿宋_GB2312" w:hAnsi="仿宋_GB2312" w:eastAsia="仿宋_GB2312" w:cs="仿宋_GB2312"/>
          <w:color w:val="000000"/>
          <w:sz w:val="32"/>
          <w:szCs w:val="32"/>
        </w:rPr>
        <w:t>截至“十三五”末，大兴区有金融机构62家，其中银行24家（不含分支机构，含村镇银行2家）；证券公司北京分公司1家；证券公司另类子公司1家；证券营业部6家；保险公司支公司及营销服务部30家。准（类）金融机构方面，小额贷款公司8家，融资性担保公司2家，典当企业16家。</w:t>
      </w:r>
    </w:p>
    <w:p>
      <w:pPr>
        <w:spacing w:line="560" w:lineRule="exact"/>
        <w:ind w:firstLine="643"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金融业总产值稳步上升。</w:t>
      </w:r>
      <w:r>
        <w:rPr>
          <w:rFonts w:hint="eastAsia" w:ascii="仿宋_GB2312" w:hAnsi="仿宋_GB2312" w:eastAsia="仿宋_GB2312" w:cs="仿宋_GB2312"/>
          <w:color w:val="000000"/>
          <w:sz w:val="32"/>
          <w:szCs w:val="32"/>
        </w:rPr>
        <w:t>2015年大兴区金融业增加值26.49亿元，占地区生产总值比重5.19%。2020年四季度末大兴区金融业增加值96.9亿元，占地区生产总值比重10.4%。较“十三五”初期，大兴区金融业占比增加5%，新增银行金融机构6家，银行存款余额2855.57亿元，增加84.25%，贷款余额1486.52亿元，增加170.54%，支持区域经济社会发展。</w:t>
      </w:r>
    </w:p>
    <w:p>
      <w:pPr>
        <w:pStyle w:val="4"/>
        <w:spacing w:before="0" w:after="0" w:line="560" w:lineRule="exact"/>
        <w:ind w:firstLine="640" w:firstLineChars="200"/>
        <w:jc w:val="both"/>
        <w:rPr>
          <w:rFonts w:ascii="黑体" w:hAnsi="黑体"/>
          <w:b w:val="0"/>
          <w:bCs w:val="0"/>
          <w:color w:val="000000"/>
          <w:sz w:val="32"/>
        </w:rPr>
      </w:pPr>
      <w:r>
        <w:rPr>
          <w:rFonts w:hint="eastAsia" w:ascii="黑体" w:hAnsi="黑体"/>
          <w:b w:val="0"/>
          <w:bCs w:val="0"/>
          <w:color w:val="000000"/>
          <w:sz w:val="32"/>
        </w:rPr>
        <w:t>二、金融服务实体经济能力日益彰显</w:t>
      </w:r>
    </w:p>
    <w:p>
      <w:pPr>
        <w:snapToGrid w:val="0"/>
        <w:spacing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“十三五”期间，大兴区积极发挥政府、金融机构、企业联动机制，多措并举，金融服务实体经济成效显著。</w:t>
      </w:r>
    </w:p>
    <w:p>
      <w:pPr>
        <w:pStyle w:val="25"/>
        <w:spacing w:line="560" w:lineRule="exact"/>
        <w:ind w:firstLine="640" w:firstLineChars="200"/>
        <w:jc w:val="both"/>
        <w:rPr>
          <w:rFonts w:ascii="楷体_GB2312" w:hAnsi="楷体_GB2312" w:eastAsia="楷体_GB2312" w:cs="楷体_GB2312"/>
          <w:szCs w:val="32"/>
        </w:rPr>
      </w:pPr>
      <w:r>
        <w:rPr>
          <w:rFonts w:hint="eastAsia" w:ascii="楷体_GB2312" w:hAnsi="楷体_GB2312" w:eastAsia="楷体_GB2312" w:cs="楷体_GB2312"/>
          <w:szCs w:val="32"/>
        </w:rPr>
        <w:t>（一）</w:t>
      </w:r>
      <w:r>
        <w:rPr>
          <w:rFonts w:hint="eastAsia" w:ascii="楷体_GB2312" w:hAnsi="楷体_GB2312" w:eastAsia="楷体_GB2312" w:cs="楷体_GB2312"/>
          <w:kern w:val="0"/>
          <w:szCs w:val="32"/>
        </w:rPr>
        <w:t>全方位服务企业上市</w:t>
      </w:r>
    </w:p>
    <w:p>
      <w:pPr>
        <w:spacing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截至“十三五”末，大兴区A股上市企业8家，香港上市3家，新三板挂牌企业14家，</w:t>
      </w:r>
      <w:r>
        <w:rPr>
          <w:rStyle w:val="42"/>
          <w:rFonts w:hint="eastAsia" w:ascii="仿宋_GB2312" w:hAnsi="仿宋_GB2312" w:eastAsia="仿宋_GB2312" w:cs="仿宋_GB2312"/>
          <w:kern w:val="0"/>
          <w:sz w:val="32"/>
          <w:szCs w:val="32"/>
        </w:rPr>
        <w:t>企业上市后备资源库入库企业26家，</w:t>
      </w:r>
      <w:r>
        <w:rPr>
          <w:rFonts w:hint="eastAsia" w:ascii="仿宋_GB2312" w:hAnsi="仿宋_GB2312" w:eastAsia="仿宋_GB2312" w:cs="仿宋_GB2312"/>
          <w:color w:val="000000"/>
          <w:sz w:val="32"/>
          <w:szCs w:val="32"/>
        </w:rPr>
        <w:t>累计新增上市公司4家。“十三五”期间，建立大兴区企业上市工作专班机制，给予上市企业全方位辅导与支持。</w:t>
      </w:r>
    </w:p>
    <w:p>
      <w:pPr>
        <w:pStyle w:val="25"/>
        <w:spacing w:line="560" w:lineRule="exact"/>
        <w:ind w:firstLine="640" w:firstLineChars="200"/>
        <w:jc w:val="both"/>
        <w:rPr>
          <w:rFonts w:ascii="楷体_GB2312" w:hAnsi="楷体_GB2312" w:eastAsia="楷体_GB2312" w:cs="楷体_GB2312"/>
          <w:szCs w:val="32"/>
        </w:rPr>
      </w:pPr>
      <w:r>
        <w:rPr>
          <w:rFonts w:hint="eastAsia" w:ascii="楷体_GB2312" w:hAnsi="楷体_GB2312" w:eastAsia="楷体_GB2312" w:cs="楷体_GB2312"/>
          <w:szCs w:val="32"/>
        </w:rPr>
        <w:t>（二）多渠道破解企业融资难题</w:t>
      </w:r>
    </w:p>
    <w:p>
      <w:pPr>
        <w:spacing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企业提供上市、融资、资源对接等综合金融服务，累计服务企业2530家次。建设“大兴金融V服务”“大兴区小微企业金融综合服务平台”等线上融资对接平台，畅通银企沟通渠道，降低银企对接成本。出台《大兴区关于进一步发挥政府性融资担保作用促进中小微企业发展的实施意见》(担保惠企“兴六条”)，发挥政府性担保机构作用，支持中小微企业发展。</w:t>
      </w:r>
    </w:p>
    <w:p>
      <w:pPr>
        <w:snapToGrid w:val="0"/>
        <w:spacing w:line="560" w:lineRule="exact"/>
        <w:ind w:firstLine="640" w:firstLineChars="200"/>
        <w:jc w:val="both"/>
        <w:rPr>
          <w:rStyle w:val="42"/>
          <w:rFonts w:ascii="楷体_GB2312" w:hAnsi="楷体_GB2312" w:eastAsia="楷体_GB2312" w:cs="楷体_GB2312"/>
          <w:sz w:val="32"/>
          <w:szCs w:val="32"/>
        </w:rPr>
      </w:pPr>
      <w:r>
        <w:rPr>
          <w:rFonts w:hint="eastAsia" w:ascii="楷体_GB2312" w:hAnsi="楷体_GB2312" w:eastAsia="楷体_GB2312" w:cs="楷体_GB2312"/>
          <w:color w:val="000000"/>
          <w:sz w:val="32"/>
          <w:szCs w:val="32"/>
        </w:rPr>
        <w:t>（三）</w:t>
      </w:r>
      <w:r>
        <w:rPr>
          <w:rStyle w:val="42"/>
          <w:rFonts w:hint="eastAsia" w:ascii="楷体_GB2312" w:hAnsi="楷体_GB2312" w:eastAsia="楷体_GB2312" w:cs="楷体_GB2312"/>
          <w:sz w:val="32"/>
          <w:szCs w:val="32"/>
        </w:rPr>
        <w:t>保障重点项目融资</w:t>
      </w:r>
    </w:p>
    <w:p>
      <w:pPr>
        <w:spacing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举办北京市级金融机构年度座谈会、重大项目对接会等，争取政策倾斜与资金支持。建立重点项目融资台账，时时跟进重点项目建设进度。“十三五”期间累计协调银行等金融机构为集体经营性建设用地入市试点项目、新机场周边基础设施建设、新城西片区建设等重点项目提供千亿元资金支持。</w:t>
      </w:r>
    </w:p>
    <w:p>
      <w:pPr>
        <w:spacing w:line="560" w:lineRule="exact"/>
        <w:ind w:firstLine="640" w:firstLineChars="200"/>
        <w:rPr>
          <w:rFonts w:ascii="楷体_GB2312" w:hAnsi="楷体_GB2312" w:eastAsia="楷体_GB2312" w:cs="楷体_GB2312"/>
          <w:color w:val="000000"/>
          <w:kern w:val="32"/>
          <w:sz w:val="32"/>
        </w:rPr>
      </w:pPr>
      <w:r>
        <w:rPr>
          <w:rFonts w:hint="eastAsia" w:ascii="楷体_GB2312" w:hAnsi="楷体_GB2312" w:eastAsia="楷体_GB2312" w:cs="楷体_GB2312"/>
          <w:color w:val="000000"/>
          <w:kern w:val="32"/>
          <w:sz w:val="32"/>
          <w:szCs w:val="32"/>
        </w:rPr>
        <w:t>（四）金融营商环境持续优化</w:t>
      </w:r>
    </w:p>
    <w:p>
      <w:pPr>
        <w:spacing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出台《大兴区支持企业上市工作暂行办法》和《大兴区支持企业上市工作暂行办法（试行）》，营造良好营商环境。通过举办论坛、金融座谈会和项目路演、融资对接会，联通市、区、镇（街）三级，构建政府、金融机构、企业沟通平台，助推区域产业升级。打造“迷你商学院”、“行长课堂”等培训品牌，属地干部、企业人员金融素养得到提升。</w:t>
      </w:r>
    </w:p>
    <w:p>
      <w:pPr>
        <w:pStyle w:val="25"/>
        <w:spacing w:line="560" w:lineRule="exact"/>
        <w:ind w:firstLine="640" w:firstLineChars="200"/>
        <w:jc w:val="both"/>
        <w:rPr>
          <w:rFonts w:ascii="楷体_GB2312" w:hAnsi="楷体_GB2312" w:eastAsia="楷体_GB2312" w:cs="楷体_GB2312"/>
          <w:kern w:val="0"/>
          <w:szCs w:val="32"/>
        </w:rPr>
      </w:pPr>
      <w:r>
        <w:rPr>
          <w:rFonts w:hint="eastAsia" w:ascii="楷体_GB2312" w:hAnsi="楷体_GB2312" w:eastAsia="楷体_GB2312" w:cs="楷体_GB2312"/>
          <w:kern w:val="0"/>
          <w:szCs w:val="32"/>
        </w:rPr>
        <w:t>（五）金融招商工作机制不断完善</w:t>
      </w:r>
    </w:p>
    <w:p>
      <w:pPr>
        <w:pStyle w:val="25"/>
        <w:spacing w:line="560" w:lineRule="exact"/>
        <w:ind w:firstLine="640" w:firstLineChars="200"/>
        <w:jc w:val="both"/>
        <w:rPr>
          <w:rFonts w:ascii="仿宋_GB2312" w:hAnsi="仿宋_GB2312" w:cs="仿宋_GB2312"/>
          <w:szCs w:val="32"/>
          <w:highlight w:val="yellow"/>
        </w:rPr>
      </w:pPr>
      <w:r>
        <w:rPr>
          <w:rFonts w:hint="eastAsia" w:ascii="仿宋_GB2312" w:hAnsi="仿宋_GB2312" w:cs="仿宋_GB2312"/>
          <w:szCs w:val="32"/>
        </w:rPr>
        <w:t>发挥金融平台优势，以商招商，积极引入具有品牌效应和行业引领带动作用的头部企业，助力区域产业结构优化升级。“十三五”期间，累计对接招商项目52个，完成注册企业30家，注册资本金362.2</w:t>
      </w:r>
      <w:r>
        <w:rPr>
          <w:rFonts w:ascii="仿宋_GB2312" w:hAnsi="仿宋_GB2312" w:cs="仿宋_GB2312"/>
          <w:szCs w:val="32"/>
        </w:rPr>
        <w:t>1</w:t>
      </w:r>
      <w:r>
        <w:rPr>
          <w:rFonts w:hint="eastAsia" w:ascii="仿宋_GB2312" w:hAnsi="仿宋_GB2312" w:cs="仿宋_GB2312"/>
          <w:szCs w:val="32"/>
        </w:rPr>
        <w:t>亿元。</w:t>
      </w:r>
    </w:p>
    <w:p>
      <w:pPr>
        <w:pStyle w:val="4"/>
        <w:spacing w:before="0" w:after="0" w:line="560" w:lineRule="exact"/>
        <w:ind w:firstLine="640" w:firstLineChars="200"/>
        <w:jc w:val="both"/>
        <w:rPr>
          <w:rFonts w:ascii="黑体" w:hAnsi="黑体"/>
          <w:b w:val="0"/>
          <w:bCs w:val="0"/>
          <w:color w:val="000000"/>
          <w:sz w:val="32"/>
        </w:rPr>
      </w:pPr>
      <w:bookmarkStart w:id="11" w:name="_Toc57362157"/>
      <w:bookmarkStart w:id="12" w:name="_Toc31102"/>
      <w:bookmarkStart w:id="13" w:name="_Toc11702"/>
      <w:bookmarkStart w:id="14" w:name="_Toc59789936"/>
      <w:r>
        <w:rPr>
          <w:rFonts w:hint="eastAsia" w:ascii="黑体" w:hAnsi="黑体"/>
          <w:b w:val="0"/>
          <w:bCs w:val="0"/>
          <w:color w:val="000000"/>
          <w:sz w:val="32"/>
        </w:rPr>
        <w:t>三、</w:t>
      </w:r>
      <w:bookmarkEnd w:id="11"/>
      <w:bookmarkEnd w:id="12"/>
      <w:bookmarkEnd w:id="13"/>
      <w:bookmarkEnd w:id="14"/>
      <w:r>
        <w:rPr>
          <w:rFonts w:hint="eastAsia" w:ascii="黑体" w:hAnsi="黑体"/>
          <w:b w:val="0"/>
          <w:bCs w:val="0"/>
          <w:color w:val="000000"/>
          <w:sz w:val="32"/>
        </w:rPr>
        <w:t>农村金融改革进一步深化</w:t>
      </w:r>
    </w:p>
    <w:bookmarkEnd w:id="10"/>
    <w:p>
      <w:pPr>
        <w:pStyle w:val="25"/>
        <w:spacing w:line="560" w:lineRule="exact"/>
        <w:ind w:firstLine="640" w:firstLineChars="200"/>
        <w:jc w:val="both"/>
        <w:rPr>
          <w:rFonts w:ascii="仿宋_GB2312" w:hAnsi="仿宋_GB2312" w:cs="仿宋_GB2312"/>
          <w:szCs w:val="32"/>
        </w:rPr>
      </w:pPr>
      <w:bookmarkStart w:id="15" w:name="_Toc59789934"/>
      <w:bookmarkStart w:id="16" w:name="_Toc19997"/>
      <w:bookmarkStart w:id="17" w:name="_Toc22174"/>
      <w:bookmarkStart w:id="18" w:name="_Toc57362155"/>
      <w:bookmarkStart w:id="19" w:name="_Toc59789935"/>
      <w:bookmarkStart w:id="20" w:name="_Toc57362156"/>
      <w:bookmarkStart w:id="21" w:name="_Toc19087"/>
      <w:bookmarkStart w:id="22" w:name="_Toc15414"/>
      <w:bookmarkStart w:id="23" w:name="_Toc57057559"/>
      <w:r>
        <w:rPr>
          <w:rFonts w:hint="eastAsia" w:ascii="仿宋_GB2312" w:hAnsi="仿宋_GB2312" w:cs="仿宋_GB2312"/>
          <w:szCs w:val="32"/>
        </w:rPr>
        <w:t>“十三五”期间，大兴区深入推进农村金融改革，农村金融环境得到显著提升。</w:t>
      </w:r>
    </w:p>
    <w:p>
      <w:pPr>
        <w:pStyle w:val="25"/>
        <w:spacing w:line="560" w:lineRule="exact"/>
        <w:ind w:firstLine="640" w:firstLineChars="200"/>
        <w:jc w:val="both"/>
        <w:rPr>
          <w:rFonts w:ascii="楷体_GB2312" w:hAnsi="楷体_GB2312" w:eastAsia="楷体_GB2312" w:cs="楷体_GB2312"/>
          <w:szCs w:val="32"/>
        </w:rPr>
      </w:pPr>
      <w:r>
        <w:rPr>
          <w:rFonts w:hint="eastAsia" w:ascii="楷体_GB2312" w:hAnsi="楷体_GB2312" w:eastAsia="楷体_GB2312" w:cs="楷体_GB2312"/>
          <w:szCs w:val="32"/>
        </w:rPr>
        <w:t>（一）农村金融改革持续推进</w:t>
      </w:r>
    </w:p>
    <w:p>
      <w:pPr>
        <w:pStyle w:val="25"/>
        <w:spacing w:line="560" w:lineRule="exact"/>
        <w:ind w:firstLine="640" w:firstLineChars="200"/>
        <w:jc w:val="both"/>
        <w:rPr>
          <w:rFonts w:ascii="仿宋_GB2312" w:hAnsi="仿宋_GB2312" w:cs="仿宋_GB2312"/>
          <w:szCs w:val="32"/>
        </w:rPr>
      </w:pPr>
      <w:r>
        <w:rPr>
          <w:rFonts w:hint="eastAsia" w:ascii="仿宋_GB2312" w:hAnsi="仿宋_GB2312" w:cs="仿宋_GB2312"/>
          <w:szCs w:val="32"/>
        </w:rPr>
        <w:t>全效赋能，为农村土地征收、集体经营性建设用地入市、宅基地制度改革等农村“三块地”改革提供资金保障，其中为集体经营性建设用地拆除腾退、整理开发等项目累计授信千亿元。创新金融产品和授信模式，实现集体土地不动产权证和农村土地承包经营权抵押融资。积极协调金融机构助推宅基地改革试点工作。</w:t>
      </w:r>
    </w:p>
    <w:p>
      <w:pPr>
        <w:pStyle w:val="25"/>
        <w:spacing w:line="560" w:lineRule="exact"/>
        <w:ind w:firstLine="640" w:firstLineChars="200"/>
        <w:jc w:val="both"/>
        <w:rPr>
          <w:rFonts w:ascii="楷体_GB2312" w:hAnsi="楷体_GB2312" w:eastAsia="楷体_GB2312" w:cs="楷体_GB2312"/>
          <w:szCs w:val="32"/>
        </w:rPr>
      </w:pPr>
      <w:r>
        <w:rPr>
          <w:rFonts w:hint="eastAsia" w:ascii="楷体_GB2312" w:hAnsi="楷体_GB2312" w:eastAsia="楷体_GB2312" w:cs="楷体_GB2312"/>
          <w:szCs w:val="32"/>
        </w:rPr>
        <w:t>（二）农业保险覆盖面不断扩大</w:t>
      </w:r>
    </w:p>
    <w:p>
      <w:pPr>
        <w:pStyle w:val="25"/>
        <w:spacing w:line="560" w:lineRule="exact"/>
        <w:ind w:firstLine="640" w:firstLineChars="200"/>
        <w:jc w:val="both"/>
        <w:rPr>
          <w:rFonts w:ascii="仿宋_GB2312" w:hAnsi="仿宋_GB2312" w:cs="仿宋_GB2312"/>
          <w:szCs w:val="32"/>
        </w:rPr>
      </w:pPr>
      <w:r>
        <w:rPr>
          <w:rFonts w:hint="eastAsia" w:ascii="仿宋_GB2312" w:hAnsi="仿宋_GB2312" w:cs="仿宋_GB2312"/>
          <w:szCs w:val="32"/>
        </w:rPr>
        <w:t>持续推广政策性农业保险，不断扩大保险覆盖面，增强农业防灾抗灾和农民抗风险能力。“十三五”期间全区共有农业保险险种70个，受益各类主体84018户，实现总保额58.40亿元。建设创新型“三农”保险示范区，创新8个区域个性化险种。</w:t>
      </w:r>
    </w:p>
    <w:p>
      <w:pPr>
        <w:pStyle w:val="25"/>
        <w:spacing w:line="560" w:lineRule="exact"/>
        <w:ind w:firstLine="640" w:firstLineChars="200"/>
        <w:jc w:val="both"/>
        <w:rPr>
          <w:rFonts w:ascii="仿宋_GB2312" w:hAnsi="仿宋_GB2312" w:cs="仿宋_GB2312"/>
          <w:szCs w:val="32"/>
        </w:rPr>
      </w:pPr>
      <w:r>
        <w:rPr>
          <w:rFonts w:hint="eastAsia" w:ascii="楷体_GB2312" w:hAnsi="楷体_GB2312" w:eastAsia="楷体_GB2312" w:cs="楷体_GB2312"/>
          <w:szCs w:val="32"/>
        </w:rPr>
        <w:t>（三）农村金融环境持续优化</w:t>
      </w:r>
    </w:p>
    <w:p>
      <w:pPr>
        <w:pStyle w:val="25"/>
        <w:spacing w:line="560" w:lineRule="exact"/>
        <w:ind w:firstLine="640" w:firstLineChars="200"/>
        <w:jc w:val="both"/>
        <w:rPr>
          <w:rFonts w:ascii="仿宋_GB2312" w:hAnsi="仿宋_GB2312" w:cs="仿宋_GB2312"/>
          <w:szCs w:val="32"/>
        </w:rPr>
      </w:pPr>
      <w:r>
        <w:rPr>
          <w:rFonts w:hint="eastAsia" w:ascii="仿宋_GB2312" w:hAnsi="仿宋_GB2312" w:cs="仿宋_GB2312"/>
          <w:szCs w:val="32"/>
        </w:rPr>
        <w:t>积极发展普惠金融，依托183家全功能模式的“便利店”、155个“村口银行”等普惠金融服务点，打通农村金融服务最后一公里，不断改善农村金融环境，提升金融服务水平，满足乡村振兴多样化的金融需求。</w:t>
      </w:r>
    </w:p>
    <w:bookmarkEnd w:id="15"/>
    <w:bookmarkEnd w:id="16"/>
    <w:bookmarkEnd w:id="17"/>
    <w:bookmarkEnd w:id="18"/>
    <w:p>
      <w:pPr>
        <w:pStyle w:val="4"/>
        <w:spacing w:before="0" w:after="0" w:line="560" w:lineRule="exact"/>
        <w:ind w:firstLine="640" w:firstLineChars="200"/>
        <w:jc w:val="both"/>
        <w:rPr>
          <w:rFonts w:ascii="黑体" w:hAnsi="黑体"/>
          <w:b w:val="0"/>
          <w:bCs w:val="0"/>
          <w:color w:val="000000"/>
          <w:sz w:val="32"/>
        </w:rPr>
      </w:pPr>
      <w:r>
        <w:rPr>
          <w:rFonts w:hint="eastAsia" w:ascii="黑体" w:hAnsi="黑体"/>
          <w:b w:val="0"/>
          <w:bCs w:val="0"/>
          <w:color w:val="000000"/>
          <w:sz w:val="32"/>
        </w:rPr>
        <w:t>四、金融风险防范能力持续提升</w:t>
      </w:r>
      <w:bookmarkEnd w:id="19"/>
      <w:bookmarkEnd w:id="20"/>
      <w:bookmarkEnd w:id="21"/>
      <w:bookmarkEnd w:id="22"/>
      <w:bookmarkEnd w:id="23"/>
    </w:p>
    <w:p>
      <w:pPr>
        <w:spacing w:line="560" w:lineRule="exact"/>
        <w:ind w:firstLine="640" w:firstLineChars="200"/>
        <w:jc w:val="both"/>
        <w:rPr>
          <w:rFonts w:ascii="楷体_GB2312" w:hAnsi="楷体_GB2312" w:eastAsia="楷体_GB2312" w:cs="楷体_GB2312"/>
          <w:sz w:val="32"/>
          <w:szCs w:val="32"/>
        </w:rPr>
      </w:pPr>
      <w:bookmarkStart w:id="24" w:name="_Toc57057561"/>
      <w:r>
        <w:rPr>
          <w:rFonts w:hint="eastAsia" w:ascii="楷体_GB2312" w:hAnsi="楷体_GB2312" w:eastAsia="楷体_GB2312" w:cs="楷体_GB2312"/>
          <w:sz w:val="32"/>
          <w:szCs w:val="32"/>
        </w:rPr>
        <w:t>（一）高度重视金融安全工作</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始终将防范化解重大风险作为高质量发展的固本之策，建立健全防范和处置非法集资工作专班机制，统筹推进金融风险矛盾隐患的排查、监测预警和综治。</w:t>
      </w:r>
    </w:p>
    <w:p>
      <w:pPr>
        <w:spacing w:line="56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（二）建立健全长效工作机制</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制定《大兴区金融突发事件应急预案》和《大兴区互联网金融风险防控应急处置工作预案》，出台《大兴区关于涉金融字样企业服务管控工作机制》，落实部门联审联防。</w:t>
      </w:r>
    </w:p>
    <w:p>
      <w:pPr>
        <w:pStyle w:val="25"/>
        <w:spacing w:line="560" w:lineRule="exact"/>
        <w:ind w:firstLine="640" w:firstLineChars="200"/>
        <w:jc w:val="both"/>
        <w:rPr>
          <w:rFonts w:ascii="楷体_GB2312" w:hAnsi="楷体_GB2312" w:eastAsia="楷体_GB2312" w:cs="楷体_GB2312"/>
          <w:szCs w:val="32"/>
        </w:rPr>
      </w:pPr>
      <w:r>
        <w:rPr>
          <w:rFonts w:hint="eastAsia" w:ascii="楷体_GB2312" w:hAnsi="楷体_GB2312" w:eastAsia="楷体_GB2312" w:cs="楷体_GB2312"/>
          <w:szCs w:val="32"/>
        </w:rPr>
        <w:t>（三）强化区、镇街、村社区三级联勤联动</w:t>
      </w:r>
    </w:p>
    <w:p>
      <w:pPr>
        <w:pStyle w:val="25"/>
        <w:spacing w:line="560" w:lineRule="exact"/>
        <w:ind w:firstLine="640" w:firstLineChars="200"/>
        <w:jc w:val="both"/>
      </w:pPr>
      <w:r>
        <w:rPr>
          <w:rFonts w:hint="eastAsia" w:ascii="仿宋_GB2312" w:hAnsi="仿宋_GB2312" w:cs="仿宋_GB2312"/>
          <w:szCs w:val="32"/>
        </w:rPr>
        <w:t>构建属地牵头、部门参与、形成合力、综合治理的联动处置机制，定期发布企业非法集资风险预警月报，积极稳妥化解存量风险隐患。持续深化防范非法集资常态化宣传教育工作，举办属地金融安全系列宣教活动，开设“大兴金融办”微信号“金融安全”专栏，形成线上线下联动宣教态势，营造倡导全民抵制非法金融活动的社会氛围。</w:t>
      </w:r>
      <w:r>
        <w:br w:type="page"/>
      </w:r>
    </w:p>
    <w:p>
      <w:pPr>
        <w:pStyle w:val="3"/>
        <w:spacing w:before="0" w:after="489" w:afterLines="150" w:line="560" w:lineRule="exact"/>
        <w:jc w:val="center"/>
        <w:rPr>
          <w:color w:val="000000"/>
          <w:sz w:val="36"/>
          <w:szCs w:val="52"/>
        </w:rPr>
      </w:pPr>
      <w:r>
        <w:rPr>
          <w:rFonts w:hint="eastAsia"/>
          <w:color w:val="000000"/>
          <w:sz w:val="36"/>
          <w:szCs w:val="52"/>
        </w:rPr>
        <w:t>第二章 “十四五”时期大兴区金融业发展背景</w:t>
      </w:r>
    </w:p>
    <w:p>
      <w:pPr>
        <w:pStyle w:val="4"/>
        <w:spacing w:before="0" w:after="0" w:line="560" w:lineRule="exact"/>
        <w:ind w:firstLine="640" w:firstLineChars="200"/>
        <w:jc w:val="both"/>
        <w:rPr>
          <w:rFonts w:ascii="黑体" w:hAnsi="黑体"/>
          <w:b w:val="0"/>
          <w:bCs w:val="0"/>
          <w:color w:val="000000"/>
          <w:sz w:val="32"/>
        </w:rPr>
      </w:pPr>
      <w:bookmarkStart w:id="25" w:name="_Toc20107"/>
      <w:bookmarkStart w:id="26" w:name="_Toc59789937"/>
      <w:bookmarkStart w:id="27" w:name="_Toc18129"/>
      <w:bookmarkStart w:id="28" w:name="_Toc57362158"/>
      <w:r>
        <w:rPr>
          <w:rFonts w:hint="eastAsia" w:ascii="黑体" w:hAnsi="黑体"/>
          <w:b w:val="0"/>
          <w:bCs w:val="0"/>
          <w:color w:val="000000"/>
          <w:sz w:val="32"/>
        </w:rPr>
        <w:t>一、“十四五”时期金融业发展机遇</w:t>
      </w:r>
      <w:bookmarkEnd w:id="24"/>
      <w:bookmarkEnd w:id="25"/>
      <w:bookmarkEnd w:id="26"/>
      <w:bookmarkEnd w:id="27"/>
      <w:bookmarkEnd w:id="28"/>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“十四五”时期是“两个一百年”奋斗目标的历史交汇期，是以习近平新时代中国特色社会主义思想为指导，推进国家服务业扩大开放综合示范区和中国（北京）自由贸易试验区（以下简称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两区”）的建设，推进京津冀协同发展，落实首都“四个中心”战略定位和大兴区“三区一门户”功能定位，</w:t>
      </w:r>
      <w:r>
        <w:rPr>
          <w:rFonts w:hint="eastAsia" w:ascii="仿宋_GB2312" w:eastAsia="仿宋_GB2312"/>
          <w:sz w:val="32"/>
          <w:szCs w:val="32"/>
        </w:rPr>
        <w:t>聚焦“新国门·新大兴”建设的</w:t>
      </w:r>
      <w:r>
        <w:rPr>
          <w:rFonts w:hint="eastAsia" w:ascii="仿宋_GB2312" w:hAnsi="仿宋_GB2312" w:eastAsia="仿宋_GB2312" w:cs="仿宋_GB2312"/>
          <w:sz w:val="32"/>
          <w:szCs w:val="32"/>
        </w:rPr>
        <w:t>关键时期，更是金融服务业扩大开放、金融体制改革持续深化、金融业健康发展的关键时期，面临前所未有的重大机遇。</w:t>
      </w:r>
    </w:p>
    <w:p>
      <w:pPr>
        <w:pStyle w:val="25"/>
        <w:spacing w:line="560" w:lineRule="exact"/>
        <w:ind w:firstLine="640" w:firstLineChars="200"/>
        <w:jc w:val="both"/>
        <w:rPr>
          <w:rFonts w:ascii="楷体_GB2312" w:hAnsi="楷体_GB2312" w:eastAsia="楷体_GB2312" w:cs="楷体_GB2312"/>
          <w:kern w:val="0"/>
          <w:szCs w:val="32"/>
        </w:rPr>
      </w:pPr>
      <w:bookmarkStart w:id="29" w:name="_Toc57362159"/>
      <w:bookmarkStart w:id="30" w:name="_Toc57057562"/>
      <w:bookmarkStart w:id="31" w:name="_Toc59789938"/>
      <w:bookmarkStart w:id="32" w:name="_Toc15267"/>
      <w:bookmarkStart w:id="33" w:name="_Toc14207"/>
      <w:r>
        <w:rPr>
          <w:rFonts w:hint="eastAsia" w:ascii="楷体_GB2312" w:hAnsi="楷体_GB2312" w:eastAsia="楷体_GB2312" w:cs="楷体_GB2312"/>
          <w:kern w:val="0"/>
          <w:szCs w:val="32"/>
        </w:rPr>
        <w:t>（一）首都功能持续梯度转移</w:t>
      </w:r>
      <w:bookmarkEnd w:id="29"/>
      <w:bookmarkEnd w:id="30"/>
      <w:bookmarkEnd w:id="31"/>
      <w:bookmarkEnd w:id="32"/>
      <w:bookmarkEnd w:id="33"/>
    </w:p>
    <w:p>
      <w:pPr>
        <w:widowControl w:val="0"/>
        <w:spacing w:line="560" w:lineRule="exact"/>
        <w:ind w:firstLine="640" w:firstLineChars="200"/>
        <w:jc w:val="both"/>
        <w:rPr>
          <w:rStyle w:val="42"/>
          <w:rFonts w:ascii="宋体" w:hAnsi="宋体"/>
          <w:kern w:val="0"/>
          <w:sz w:val="24"/>
        </w:rPr>
      </w:pPr>
      <w:r>
        <w:rPr>
          <w:rFonts w:hint="eastAsia" w:ascii="仿宋_GB2312" w:hAnsi="仿宋_GB2312" w:eastAsia="仿宋_GB2312" w:cs="仿宋_GB2312"/>
          <w:sz w:val="32"/>
          <w:szCs w:val="32"/>
        </w:rPr>
        <w:t>大兴区作为首都功能梯度转移的承接区，将会迎来一系列金融创新需求和高精尖产业落地，各类金融服务机构和金融中介的入驻也将推动大兴区金融产业体系升级发展。秉持“以医药健康为核心产业，以“新一代信息技术、智能装备等高端制造为潜导产业，以科技服务、航空服务、金融服务、商务服务等为支撑产业”的高精尖产业发展思路，生物医药基地产业集聚效应增强，大兴国际氢能示范区等产业园的落地，推动以科技创新服务业、数字经济为主要特征的开放平台的建立，带动形成更高层次改革开放的新格局。北京证券交易所的设立将对大兴区产业发展构成重大利好，大兴区重点发展的产业方向符合北交所服务创新型中小企业的市场定位，有助于大兴区更多中小企业、“专精特新”企业得到多层次资本市场助力。</w:t>
      </w:r>
    </w:p>
    <w:p>
      <w:pPr>
        <w:pStyle w:val="25"/>
        <w:spacing w:line="560" w:lineRule="exact"/>
        <w:ind w:firstLine="640" w:firstLineChars="200"/>
        <w:jc w:val="both"/>
        <w:rPr>
          <w:rFonts w:ascii="楷体_GB2312" w:hAnsi="楷体_GB2312" w:eastAsia="楷体_GB2312" w:cs="楷体_GB2312"/>
          <w:kern w:val="0"/>
          <w:szCs w:val="32"/>
        </w:rPr>
      </w:pPr>
      <w:bookmarkStart w:id="34" w:name="_Toc27521"/>
      <w:bookmarkStart w:id="35" w:name="_Toc57057564"/>
      <w:bookmarkStart w:id="36" w:name="_Toc57362161"/>
      <w:bookmarkStart w:id="37" w:name="_Toc13582"/>
      <w:bookmarkStart w:id="38" w:name="_Toc59789940"/>
      <w:r>
        <w:rPr>
          <w:rFonts w:hint="eastAsia" w:ascii="楷体_GB2312" w:hAnsi="楷体_GB2312" w:eastAsia="楷体_GB2312" w:cs="楷体_GB2312"/>
          <w:kern w:val="0"/>
          <w:szCs w:val="32"/>
        </w:rPr>
        <w:t>（二）“两区”建设政策体系叠加</w:t>
      </w:r>
      <w:bookmarkEnd w:id="34"/>
      <w:bookmarkEnd w:id="35"/>
      <w:bookmarkEnd w:id="36"/>
      <w:bookmarkEnd w:id="37"/>
      <w:bookmarkEnd w:id="38"/>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两区”建设政策体系叠加为大兴经济社会发展带来了重大机遇，将在产业发展与人才引进中拥有更大的政策创新空间，成为改革发展的政策集成创新高地。未来会吸引大量科研机构、国际组织和跨国公司集聚发展，开展全方位战略合作，打造具有国际竞争优势和全球影响力的国际化、高端化、服务化发展区域。“两区”建设也将有序推进金融机构和金融人才加速聚集，提高大兴区金融业的辐射作用，促进金融新业态的发展。</w:t>
      </w:r>
      <w:bookmarkStart w:id="39" w:name="_Toc32063"/>
      <w:bookmarkStart w:id="40" w:name="_Toc59789941"/>
      <w:bookmarkStart w:id="41" w:name="_Toc57057565"/>
      <w:bookmarkStart w:id="42" w:name="_Toc57362162"/>
      <w:bookmarkStart w:id="43" w:name="_Toc12734"/>
    </w:p>
    <w:p>
      <w:pPr>
        <w:pStyle w:val="25"/>
        <w:spacing w:line="560" w:lineRule="exact"/>
        <w:ind w:firstLine="640" w:firstLineChars="200"/>
        <w:jc w:val="both"/>
        <w:rPr>
          <w:rFonts w:ascii="楷体_GB2312" w:hAnsi="楷体_GB2312" w:eastAsia="楷体_GB2312" w:cs="楷体_GB2312"/>
          <w:kern w:val="0"/>
          <w:szCs w:val="32"/>
        </w:rPr>
      </w:pPr>
      <w:bookmarkStart w:id="44" w:name="_Toc22519"/>
      <w:bookmarkStart w:id="45" w:name="_Toc57362160"/>
      <w:bookmarkStart w:id="46" w:name="_Toc17719"/>
      <w:bookmarkStart w:id="47" w:name="_Toc57057563"/>
      <w:bookmarkStart w:id="48" w:name="_Toc59789939"/>
      <w:r>
        <w:rPr>
          <w:rFonts w:hint="eastAsia" w:ascii="楷体_GB2312" w:hAnsi="楷体_GB2312" w:eastAsia="楷体_GB2312" w:cs="楷体_GB2312"/>
          <w:kern w:val="0"/>
          <w:szCs w:val="32"/>
        </w:rPr>
        <w:t>（三）产业集聚效应持续增强</w:t>
      </w:r>
      <w:bookmarkEnd w:id="44"/>
      <w:bookmarkEnd w:id="45"/>
      <w:bookmarkEnd w:id="46"/>
      <w:bookmarkEnd w:id="47"/>
      <w:bookmarkEnd w:id="48"/>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国家、市级、区级产业发展政策以及产业发展利好优势的叠加，加速了新一代信息技术、生物与健康、科技服务等产业向大兴区的进一步聚集，形成“一园一区四组团”的产业发展格局，金融服务产业发展的潜力和空间巨大。临空经济区进入全面建设阶段，作为国家发展新的动力源，将辐射带动区域产业转型升级，</w:t>
      </w:r>
      <w:r>
        <w:rPr>
          <w:rFonts w:hint="eastAsia" w:ascii="仿宋_GB2312" w:hAnsi="仿宋_GB2312" w:eastAsia="仿宋_GB2312" w:cs="仿宋_GB2312"/>
          <w:kern w:val="2"/>
          <w:sz w:val="32"/>
          <w:szCs w:val="32"/>
        </w:rPr>
        <w:t>加快大兴区以医药健康为核心产业，以新一代信息技术、智能装备等高端制造为潜导产业，以科技服务、航空服务、金融服务、商务服务等为支撑产业的现代产业体系发展</w:t>
      </w:r>
      <w:r>
        <w:rPr>
          <w:rFonts w:hint="eastAsia" w:ascii="仿宋_GB2312" w:hAnsi="仿宋_GB2312" w:eastAsia="仿宋_GB2312" w:cs="仿宋_GB2312"/>
          <w:sz w:val="32"/>
          <w:szCs w:val="32"/>
        </w:rPr>
        <w:t>，成为北京市改革发展、京津冀协同发展的前沿区，承担起“打造京津冀核心腹地产业新高地”重任。</w:t>
      </w:r>
    </w:p>
    <w:p>
      <w:pPr>
        <w:pStyle w:val="25"/>
        <w:spacing w:line="560" w:lineRule="exact"/>
        <w:ind w:firstLine="640" w:firstLineChars="200"/>
        <w:jc w:val="both"/>
        <w:rPr>
          <w:rFonts w:ascii="楷体_GB2312" w:hAnsi="楷体_GB2312" w:eastAsia="楷体_GB2312" w:cs="楷体_GB2312"/>
          <w:kern w:val="0"/>
          <w:szCs w:val="32"/>
        </w:rPr>
      </w:pPr>
      <w:r>
        <w:rPr>
          <w:rFonts w:hint="eastAsia" w:ascii="楷体_GB2312" w:hAnsi="楷体_GB2312" w:eastAsia="楷体_GB2312" w:cs="楷体_GB2312"/>
          <w:kern w:val="0"/>
          <w:szCs w:val="32"/>
        </w:rPr>
        <w:t>（四）金融创新加速</w:t>
      </w:r>
      <w:bookmarkEnd w:id="39"/>
      <w:bookmarkEnd w:id="40"/>
      <w:bookmarkEnd w:id="41"/>
      <w:bookmarkEnd w:id="42"/>
      <w:bookmarkEnd w:id="43"/>
      <w:r>
        <w:rPr>
          <w:rFonts w:hint="eastAsia" w:ascii="楷体_GB2312" w:hAnsi="楷体_GB2312" w:eastAsia="楷体_GB2312" w:cs="楷体_GB2312"/>
          <w:kern w:val="0"/>
          <w:szCs w:val="32"/>
        </w:rPr>
        <w:t>发展</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大兴区依托地理优势和政策优势积极开展数字货币研究和应用的先行先试，推动数字货币多维应用场景建设。针对自贸区跨境贸易金融和支付场景，支持特色供应链金融、跨境贸易金融和服务等创新，提升金融机构风险管理能力，在自贸区内推动金融创新中心建设。支持科技成果转化项目落地和科技成果服务体系构建，促进科技与经济的深度融合，为区域经济社会的高质量发展提供强有力的金融支撑。</w:t>
      </w:r>
    </w:p>
    <w:p>
      <w:pPr>
        <w:pStyle w:val="25"/>
        <w:spacing w:line="560" w:lineRule="exact"/>
        <w:ind w:firstLine="640" w:firstLineChars="200"/>
        <w:jc w:val="both"/>
        <w:rPr>
          <w:rFonts w:ascii="楷体_GB2312" w:hAnsi="楷体_GB2312" w:eastAsia="楷体_GB2312" w:cs="楷体_GB2312"/>
          <w:kern w:val="0"/>
          <w:szCs w:val="32"/>
        </w:rPr>
      </w:pPr>
      <w:bookmarkStart w:id="49" w:name="_Toc8543"/>
      <w:bookmarkStart w:id="50" w:name="_Toc57362163"/>
      <w:bookmarkStart w:id="51" w:name="_Toc57057566"/>
      <w:bookmarkStart w:id="52" w:name="_Toc59789942"/>
      <w:bookmarkStart w:id="53" w:name="_Toc16705"/>
      <w:r>
        <w:rPr>
          <w:rFonts w:hint="eastAsia" w:ascii="楷体_GB2312" w:hAnsi="楷体_GB2312" w:eastAsia="楷体_GB2312" w:cs="楷体_GB2312"/>
          <w:kern w:val="0"/>
          <w:szCs w:val="32"/>
        </w:rPr>
        <w:t>（五）</w:t>
      </w:r>
      <w:bookmarkEnd w:id="49"/>
      <w:bookmarkEnd w:id="50"/>
      <w:bookmarkEnd w:id="51"/>
      <w:bookmarkEnd w:id="52"/>
      <w:bookmarkEnd w:id="53"/>
      <w:r>
        <w:rPr>
          <w:rFonts w:hint="eastAsia" w:ascii="楷体_GB2312" w:hAnsi="楷体_GB2312" w:eastAsia="楷体_GB2312" w:cs="楷体_GB2312"/>
          <w:kern w:val="0"/>
          <w:szCs w:val="32"/>
        </w:rPr>
        <w:t>乡村振兴战略有序推进</w:t>
      </w:r>
    </w:p>
    <w:p>
      <w:pPr>
        <w:spacing w:line="560" w:lineRule="exact"/>
        <w:ind w:firstLine="640" w:firstLineChars="200"/>
        <w:jc w:val="both"/>
        <w:rPr>
          <w:rFonts w:ascii="仿宋_GB2312" w:hAnsi="仿宋_GB2312" w:eastAsia="仿宋_GB2312" w:cs="仿宋_GB2312"/>
          <w:sz w:val="32"/>
          <w:szCs w:val="32"/>
        </w:rPr>
      </w:pPr>
      <w:bookmarkStart w:id="54" w:name="_Toc57057567"/>
      <w:bookmarkStart w:id="55" w:name="_Toc57362164"/>
      <w:bookmarkStart w:id="56" w:name="_Toc884"/>
      <w:bookmarkStart w:id="57" w:name="_Toc59789943"/>
      <w:bookmarkStart w:id="58" w:name="_Toc11683"/>
      <w:r>
        <w:rPr>
          <w:rFonts w:hint="eastAsia" w:ascii="仿宋_GB2312" w:hAnsi="仿宋_GB2312" w:eastAsia="仿宋_GB2312" w:cs="仿宋_GB2312"/>
          <w:sz w:val="32"/>
          <w:szCs w:val="32"/>
        </w:rPr>
        <w:t>大兴区贯彻实施乡村振兴战略，深入推进美丽乡村建设。深度挖掘金融服农助农与乡村振兴契合点，推进更多金融资源配置到“三农”重点领域和薄弱环节。持续加大“三农”投入力度，落实好惠农富农政策，金融推动加速构建现代农业产业体系、生产体系、经营体系。创新城乡融合发展体制机制，金融支持深化集建地管理制度改革，不断拓宽集建地利用途径，推动成为城乡融合发展新支点、农业农村现代化新引擎。着力改善农村基础设施和公共服务，依托“互联网</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农村一二三产业融合发展，大力培育新型经营主体，</w:t>
      </w:r>
      <w:r>
        <w:rPr>
          <w:rFonts w:hint="eastAsia" w:ascii="仿宋_GB2312" w:hAnsi="仿宋_GB2312" w:eastAsia="仿宋_GB2312" w:cs="仿宋_GB2312"/>
          <w:sz w:val="32"/>
          <w:szCs w:val="32"/>
        </w:rPr>
        <w:t>满足“三农”领域多元化金融需求，</w:t>
      </w:r>
      <w:r>
        <w:rPr>
          <w:rFonts w:ascii="仿宋_GB2312" w:hAnsi="仿宋_GB2312" w:eastAsia="仿宋_GB2312" w:cs="仿宋_GB2312"/>
          <w:sz w:val="32"/>
          <w:szCs w:val="32"/>
        </w:rPr>
        <w:t>农民稳定就业和持续增收渠道</w:t>
      </w:r>
      <w:r>
        <w:rPr>
          <w:rFonts w:hint="eastAsia" w:ascii="仿宋_GB2312" w:hAnsi="仿宋_GB2312" w:eastAsia="仿宋_GB2312" w:cs="仿宋_GB2312"/>
          <w:sz w:val="32"/>
          <w:szCs w:val="32"/>
        </w:rPr>
        <w:t>不断</w:t>
      </w:r>
      <w:r>
        <w:rPr>
          <w:rFonts w:ascii="仿宋_GB2312" w:hAnsi="仿宋_GB2312" w:eastAsia="仿宋_GB2312" w:cs="仿宋_GB2312"/>
          <w:sz w:val="32"/>
          <w:szCs w:val="32"/>
        </w:rPr>
        <w:t>拓展。</w:t>
      </w:r>
    </w:p>
    <w:p>
      <w:pPr>
        <w:pStyle w:val="4"/>
        <w:spacing w:before="0" w:after="0" w:line="560" w:lineRule="exact"/>
        <w:ind w:firstLine="640" w:firstLineChars="200"/>
        <w:jc w:val="both"/>
        <w:rPr>
          <w:rFonts w:ascii="黑体" w:hAnsi="黑体"/>
          <w:b w:val="0"/>
          <w:bCs w:val="0"/>
          <w:color w:val="000000"/>
          <w:sz w:val="32"/>
        </w:rPr>
      </w:pPr>
      <w:r>
        <w:rPr>
          <w:rFonts w:hint="eastAsia" w:ascii="黑体" w:hAnsi="黑体"/>
          <w:b w:val="0"/>
          <w:bCs w:val="0"/>
          <w:color w:val="000000"/>
          <w:sz w:val="32"/>
        </w:rPr>
        <w:t>二、主要挑战</w:t>
      </w:r>
      <w:bookmarkEnd w:id="54"/>
      <w:bookmarkEnd w:id="55"/>
      <w:bookmarkEnd w:id="56"/>
      <w:bookmarkEnd w:id="57"/>
      <w:bookmarkEnd w:id="58"/>
    </w:p>
    <w:p>
      <w:pPr>
        <w:pStyle w:val="25"/>
        <w:spacing w:line="560" w:lineRule="exact"/>
        <w:ind w:firstLine="640" w:firstLineChars="200"/>
        <w:jc w:val="both"/>
        <w:rPr>
          <w:rFonts w:ascii="楷体_GB2312" w:hAnsi="楷体_GB2312" w:eastAsia="楷体_GB2312" w:cs="楷体_GB2312"/>
          <w:kern w:val="0"/>
          <w:szCs w:val="32"/>
        </w:rPr>
      </w:pPr>
      <w:bookmarkStart w:id="59" w:name="_Toc57057569"/>
      <w:bookmarkStart w:id="60" w:name="_Toc57362166"/>
      <w:bookmarkStart w:id="61" w:name="_Toc59789944"/>
      <w:bookmarkStart w:id="62" w:name="_Toc3613"/>
      <w:bookmarkStart w:id="63" w:name="_Toc14674"/>
      <w:r>
        <w:rPr>
          <w:rFonts w:hint="eastAsia" w:ascii="楷体_GB2312" w:hAnsi="楷体_GB2312" w:eastAsia="楷体_GB2312" w:cs="楷体_GB2312"/>
          <w:kern w:val="0"/>
          <w:szCs w:val="32"/>
        </w:rPr>
        <w:t>（一）优质金融资源缺乏，金融业</w:t>
      </w:r>
      <w:bookmarkEnd w:id="59"/>
      <w:bookmarkEnd w:id="60"/>
      <w:bookmarkEnd w:id="61"/>
      <w:bookmarkEnd w:id="62"/>
      <w:bookmarkEnd w:id="63"/>
      <w:r>
        <w:rPr>
          <w:rFonts w:hint="eastAsia" w:ascii="楷体_GB2312" w:hAnsi="楷体_GB2312" w:eastAsia="楷体_GB2312" w:cs="楷体_GB2312"/>
          <w:kern w:val="0"/>
          <w:szCs w:val="32"/>
        </w:rPr>
        <w:t>态有待丰富</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目前大兴区金融产业聚集效应不明显，相对比较分散。金融业态相对单一，高端金融人才和培训机构匮乏，现有金融供给主要来自于驻区金融机构，需要统筹吸引国际国内多方金融资源。鼓励引进国际一流的会计师事务所、律师事务所、征信评级机构、资产评估机构等中介服务商，吸引资产管理公司、信托公司、保险资管等另类资产管理机构，增强金融服务实体经济能力，提升大兴区金融服务的整体效能。</w:t>
      </w:r>
    </w:p>
    <w:p>
      <w:pPr>
        <w:pStyle w:val="25"/>
        <w:spacing w:line="560" w:lineRule="exact"/>
        <w:ind w:firstLine="640" w:firstLineChars="200"/>
        <w:jc w:val="both"/>
        <w:rPr>
          <w:rFonts w:ascii="楷体_GB2312" w:hAnsi="楷体_GB2312" w:eastAsia="楷体_GB2312" w:cs="楷体_GB2312"/>
          <w:kern w:val="0"/>
          <w:szCs w:val="32"/>
        </w:rPr>
      </w:pPr>
      <w:bookmarkStart w:id="64" w:name="_Toc57362167"/>
      <w:bookmarkStart w:id="65" w:name="_Toc57057570"/>
      <w:bookmarkStart w:id="66" w:name="_Toc19198"/>
      <w:bookmarkStart w:id="67" w:name="_Toc32420"/>
      <w:bookmarkStart w:id="68" w:name="_Toc59789945"/>
      <w:r>
        <w:rPr>
          <w:rFonts w:hint="eastAsia" w:ascii="楷体_GB2312" w:hAnsi="楷体_GB2312" w:eastAsia="楷体_GB2312" w:cs="楷体_GB2312"/>
          <w:kern w:val="0"/>
          <w:szCs w:val="32"/>
        </w:rPr>
        <w:t>（二）争取“两区”</w:t>
      </w:r>
      <w:bookmarkEnd w:id="64"/>
      <w:bookmarkEnd w:id="65"/>
      <w:bookmarkEnd w:id="66"/>
      <w:bookmarkEnd w:id="67"/>
      <w:bookmarkEnd w:id="68"/>
      <w:r>
        <w:rPr>
          <w:rFonts w:hint="eastAsia" w:ascii="楷体_GB2312" w:hAnsi="楷体_GB2312" w:eastAsia="楷体_GB2312" w:cs="楷体_GB2312"/>
          <w:kern w:val="0"/>
          <w:szCs w:val="32"/>
        </w:rPr>
        <w:t>建设政策倾斜的优势不明显</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北京市“两区”建设刚刚起步，在政策市级层面统筹中，大兴区金融基础较弱，金融特色优势不鲜明，争取“两区”建设政策倾斜难度较大。大兴区仍处于经济转型升级的过程当中，产业布局尚处于规划设计阶段，空间载体与金融资源有限，助力“两区”金融政策落地实施面临挑战。</w:t>
      </w:r>
    </w:p>
    <w:p>
      <w:pPr>
        <w:pStyle w:val="25"/>
        <w:spacing w:line="560" w:lineRule="exact"/>
        <w:ind w:firstLine="640" w:firstLineChars="200"/>
        <w:jc w:val="both"/>
        <w:rPr>
          <w:rFonts w:ascii="楷体_GB2312" w:hAnsi="楷体_GB2312" w:eastAsia="楷体_GB2312" w:cs="楷体_GB2312"/>
          <w:kern w:val="0"/>
          <w:szCs w:val="32"/>
        </w:rPr>
      </w:pPr>
      <w:bookmarkStart w:id="69" w:name="_Toc57362165"/>
      <w:bookmarkStart w:id="70" w:name="_Toc59789946"/>
      <w:bookmarkStart w:id="71" w:name="_Toc20700"/>
      <w:bookmarkStart w:id="72" w:name="_Toc57057568"/>
      <w:bookmarkStart w:id="73" w:name="_Toc9817"/>
      <w:r>
        <w:rPr>
          <w:rFonts w:hint="eastAsia" w:ascii="楷体_GB2312" w:hAnsi="楷体_GB2312" w:eastAsia="楷体_GB2312" w:cs="楷体_GB2312"/>
          <w:kern w:val="0"/>
          <w:szCs w:val="32"/>
        </w:rPr>
        <w:t>（三）金融风险防范能力仍需持续加强</w:t>
      </w:r>
      <w:bookmarkEnd w:id="69"/>
      <w:bookmarkEnd w:id="70"/>
      <w:bookmarkEnd w:id="71"/>
      <w:bookmarkEnd w:id="72"/>
      <w:bookmarkEnd w:id="73"/>
    </w:p>
    <w:p>
      <w:pPr>
        <w:spacing w:line="560" w:lineRule="exact"/>
        <w:ind w:firstLine="640" w:firstLineChars="200"/>
        <w:jc w:val="both"/>
        <w:rPr>
          <w:color w:val="000000"/>
          <w:sz w:val="36"/>
          <w:szCs w:val="52"/>
        </w:rPr>
      </w:pPr>
      <w:r>
        <w:rPr>
          <w:rFonts w:hint="eastAsia" w:ascii="仿宋_GB2312" w:hAnsi="仿宋_GB2312" w:eastAsia="仿宋_GB2312" w:cs="仿宋_GB2312"/>
          <w:sz w:val="32"/>
          <w:szCs w:val="32"/>
        </w:rPr>
        <w:t>在金融服务业进一步扩大开放，大兴区经济快速、高质量发展的背景下，更多的国内外各类投资机构、私募股权等新金融产业，数字经济等新业态在大兴区落地。开展金融创新的同时，对于各类伪私募、数字货币、预付式领域等新型金融风险仍需强化研判、审慎监管。针对非法集资违法活动的特点，落实属地及部门职能作用，加强相关机构源头管控，强化日常排查及早期干预力度，持续推进金融安全宣传教育活动，引导群众树立正确金融理念，提升群众识别、远离、抵制非法集资的意识，从根源挤压非法金融活动的生存空间等工作仍需常抓不懈。</w:t>
      </w:r>
      <w:bookmarkStart w:id="74" w:name="_Toc57057571"/>
      <w:r>
        <w:rPr>
          <w:rFonts w:hint="eastAsia"/>
          <w:color w:val="000000"/>
          <w:sz w:val="36"/>
          <w:szCs w:val="52"/>
        </w:rPr>
        <w:br w:type="page"/>
      </w:r>
    </w:p>
    <w:bookmarkEnd w:id="74"/>
    <w:p>
      <w:pPr>
        <w:pStyle w:val="3"/>
        <w:spacing w:before="0" w:after="489" w:afterLines="150" w:line="560" w:lineRule="exact"/>
        <w:jc w:val="center"/>
        <w:rPr>
          <w:color w:val="000000"/>
          <w:sz w:val="36"/>
          <w:szCs w:val="52"/>
        </w:rPr>
      </w:pPr>
      <w:bookmarkStart w:id="75" w:name="_Toc59789947"/>
      <w:r>
        <w:rPr>
          <w:rFonts w:hint="eastAsia"/>
          <w:color w:val="000000"/>
          <w:sz w:val="36"/>
          <w:szCs w:val="52"/>
        </w:rPr>
        <w:t>第三章 指导思想和发展目标</w:t>
      </w:r>
      <w:bookmarkEnd w:id="75"/>
    </w:p>
    <w:p>
      <w:pPr>
        <w:pStyle w:val="4"/>
        <w:spacing w:before="0" w:after="0" w:line="560" w:lineRule="exact"/>
        <w:ind w:firstLine="640" w:firstLineChars="200"/>
        <w:jc w:val="both"/>
        <w:rPr>
          <w:rFonts w:ascii="黑体" w:hAnsi="黑体"/>
          <w:b w:val="0"/>
          <w:bCs w:val="0"/>
          <w:color w:val="000000"/>
          <w:sz w:val="32"/>
        </w:rPr>
      </w:pPr>
      <w:bookmarkStart w:id="76" w:name="_Toc59789948"/>
      <w:r>
        <w:rPr>
          <w:rFonts w:hint="eastAsia" w:ascii="黑体" w:hAnsi="黑体"/>
          <w:b w:val="0"/>
          <w:bCs w:val="0"/>
          <w:color w:val="000000"/>
          <w:sz w:val="32"/>
        </w:rPr>
        <w:t>一、</w:t>
      </w:r>
      <w:bookmarkStart w:id="77" w:name="_Toc10760"/>
      <w:bookmarkStart w:id="78" w:name="_Toc12424"/>
      <w:bookmarkStart w:id="79" w:name="_Toc57362168"/>
      <w:r>
        <w:rPr>
          <w:rFonts w:hint="eastAsia" w:ascii="黑体" w:hAnsi="黑体"/>
          <w:b w:val="0"/>
          <w:bCs w:val="0"/>
          <w:color w:val="000000"/>
          <w:sz w:val="32"/>
        </w:rPr>
        <w:t>指导思想</w:t>
      </w:r>
      <w:bookmarkEnd w:id="76"/>
      <w:bookmarkEnd w:id="77"/>
      <w:bookmarkEnd w:id="78"/>
      <w:bookmarkEnd w:id="79"/>
    </w:p>
    <w:p>
      <w:pPr>
        <w:spacing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四五”时期，坚持以习近平新时代中国特色社会主义思想为指导，深入贯彻落实党的十九大、十九届二中、三中、四中、五中、六中全会精神，全面贯彻新发展理念，积极融入新发展格局，立足“三区一门户”定位，在“两区”政策指导下，紧紧围绕促进金融产业发展、金融服务实体经济、加快金融科技发展、防范化解金融风险四项任务，以推动高质量发展为目标，以服务实体经济为主线，以促进金融产业发展为抓手，以金融科技创新为动力，推动金融产业与区域经济良性互动，为大兴区高质量发展做出金融新贡献。</w:t>
      </w:r>
    </w:p>
    <w:p>
      <w:pPr>
        <w:pStyle w:val="4"/>
        <w:spacing w:before="0" w:after="0" w:line="560" w:lineRule="exact"/>
        <w:ind w:firstLine="640" w:firstLineChars="200"/>
        <w:jc w:val="both"/>
        <w:rPr>
          <w:rFonts w:ascii="黑体" w:hAnsi="黑体"/>
          <w:b w:val="0"/>
          <w:bCs w:val="0"/>
          <w:color w:val="000000"/>
          <w:sz w:val="32"/>
        </w:rPr>
      </w:pPr>
      <w:bookmarkStart w:id="80" w:name="_Toc59789949"/>
      <w:r>
        <w:rPr>
          <w:rFonts w:hint="eastAsia" w:ascii="黑体" w:hAnsi="黑体"/>
          <w:b w:val="0"/>
          <w:bCs w:val="0"/>
          <w:color w:val="000000"/>
          <w:sz w:val="32"/>
        </w:rPr>
        <w:t>二、发展战略</w:t>
      </w:r>
      <w:bookmarkEnd w:id="80"/>
    </w:p>
    <w:p>
      <w:pPr>
        <w:pStyle w:val="25"/>
        <w:spacing w:line="560" w:lineRule="exact"/>
        <w:ind w:firstLine="640" w:firstLineChars="200"/>
        <w:jc w:val="both"/>
        <w:rPr>
          <w:rFonts w:ascii="楷体_GB2312" w:hAnsi="楷体_GB2312" w:eastAsia="楷体_GB2312" w:cs="楷体_GB2312"/>
          <w:kern w:val="0"/>
          <w:szCs w:val="32"/>
        </w:rPr>
      </w:pPr>
      <w:bookmarkStart w:id="81" w:name="_Toc59789950"/>
      <w:r>
        <w:rPr>
          <w:rFonts w:hint="eastAsia" w:ascii="楷体_GB2312" w:hAnsi="楷体_GB2312" w:eastAsia="楷体_GB2312" w:cs="楷体_GB2312"/>
          <w:kern w:val="0"/>
          <w:szCs w:val="32"/>
        </w:rPr>
        <w:t>（一）一条战略原则</w:t>
      </w:r>
      <w:bookmarkEnd w:id="81"/>
    </w:p>
    <w:p>
      <w:pPr>
        <w:spacing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按照首都“四个中心”战略定位和大兴区“三区一门户”功能定位，强化“有为政府+有效市场”的政策理念，坚持政策引导与市场化运营有机结合的原则，充分发挥“两区”建设的政策优势，推进大兴区金融业全面发展，推动建设国际化、高端化首都南部发展新高地，打造金融高质量发展的“大兴名片”。</w:t>
      </w:r>
    </w:p>
    <w:p>
      <w:pPr>
        <w:pStyle w:val="25"/>
        <w:spacing w:line="560" w:lineRule="exact"/>
        <w:ind w:firstLine="640" w:firstLineChars="200"/>
        <w:jc w:val="both"/>
        <w:rPr>
          <w:rFonts w:ascii="楷体_GB2312" w:hAnsi="楷体_GB2312" w:eastAsia="楷体_GB2312" w:cs="楷体_GB2312"/>
          <w:kern w:val="0"/>
          <w:szCs w:val="32"/>
        </w:rPr>
      </w:pPr>
      <w:bookmarkStart w:id="82" w:name="_Toc59789951"/>
      <w:r>
        <w:rPr>
          <w:rFonts w:hint="eastAsia" w:ascii="楷体_GB2312" w:hAnsi="楷体_GB2312" w:eastAsia="楷体_GB2312" w:cs="楷体_GB2312"/>
          <w:kern w:val="0"/>
          <w:szCs w:val="32"/>
        </w:rPr>
        <w:t>（二）两条战略路径</w:t>
      </w:r>
      <w:bookmarkEnd w:id="82"/>
    </w:p>
    <w:p>
      <w:pPr>
        <w:spacing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方面，促进区域金融产业发展，推动金融聚集区建设，加速金融科技试点与落地，加快大兴金融产业体系建设，提高金融体系服务实体经济的能力和水平。围绕高精尖产业发展需要，积极对外宣传，重点引入高质量、具有品牌效应和行业引领带动作用的头部金融机构，助力区域产业结构优化升级和区内财源建设。另一方面，发挥金融支持实体经济的积极作用，促进实体经济与金融协调发展。推进企业登陆多层次资本市场，支持企业充分利用资本市场力量做优做强，发挥金融对特色产业和乡村振兴的支撑作用，推进普惠金融和绿色金融，积极协调区内重大项目融资。</w:t>
      </w:r>
    </w:p>
    <w:p>
      <w:pPr>
        <w:pStyle w:val="25"/>
        <w:spacing w:line="560" w:lineRule="exact"/>
        <w:ind w:firstLine="640" w:firstLineChars="200"/>
        <w:jc w:val="both"/>
        <w:rPr>
          <w:rFonts w:ascii="楷体_GB2312" w:hAnsi="楷体_GB2312" w:eastAsia="楷体_GB2312" w:cs="楷体_GB2312"/>
          <w:kern w:val="0"/>
          <w:szCs w:val="32"/>
        </w:rPr>
      </w:pPr>
      <w:bookmarkStart w:id="83" w:name="_Toc59789952"/>
      <w:r>
        <w:rPr>
          <w:rFonts w:hint="eastAsia" w:ascii="楷体_GB2312" w:hAnsi="楷体_GB2312" w:eastAsia="楷体_GB2312" w:cs="楷体_GB2312"/>
          <w:kern w:val="0"/>
          <w:szCs w:val="32"/>
        </w:rPr>
        <w:t>（三）三维战略框架</w:t>
      </w:r>
      <w:bookmarkEnd w:id="83"/>
    </w:p>
    <w:p>
      <w:pPr>
        <w:spacing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坚持发展、创新、稳定“三位一体”的三维战略框架。发展依靠创新，创新兼顾稳定。落实“十四五”时期北京市总体发展规划，遵循《北京市大兴区国民经济和社会发展第十四个五年规划和二〇三五年远景目标纲要》，统筹做好区域金融产业发展布局；以应用场景创新带动政府管理和服务创新，努力营造有利于金融创新成果落地转化的良好环境，系统推进金融创新和监管工作；以金融稳定为前提，鼓励依法进行的金融创新，强化审慎金融监管。</w:t>
      </w:r>
    </w:p>
    <w:p>
      <w:pPr>
        <w:pStyle w:val="25"/>
        <w:spacing w:line="560" w:lineRule="exact"/>
        <w:ind w:firstLine="640" w:firstLineChars="200"/>
        <w:jc w:val="both"/>
        <w:rPr>
          <w:rFonts w:ascii="楷体_GB2312" w:hAnsi="楷体_GB2312" w:eastAsia="楷体_GB2312" w:cs="楷体_GB2312"/>
          <w:kern w:val="0"/>
          <w:szCs w:val="32"/>
        </w:rPr>
      </w:pPr>
      <w:bookmarkStart w:id="84" w:name="_Toc59789953"/>
      <w:r>
        <w:rPr>
          <w:rFonts w:hint="eastAsia" w:ascii="楷体_GB2312" w:hAnsi="楷体_GB2312" w:eastAsia="楷体_GB2312" w:cs="楷体_GB2312"/>
          <w:kern w:val="0"/>
          <w:szCs w:val="32"/>
        </w:rPr>
        <w:t>（四）四大战略任务</w:t>
      </w:r>
      <w:bookmarkEnd w:id="84"/>
    </w:p>
    <w:p>
      <w:pPr>
        <w:spacing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一，发挥金融赋能“两区”建设作用。借助“两区”建设契机，积极对接吸引外部金融资源落户大兴，推进金融资源聚集。第二，推进金融服务实体经济。充分利用多层次资本市场，推动区内企业上市；加大金融支持重点产业发展力度，针对不同发展阶段的企业采用相应的金融引导政策；推进普惠金融发展，提升金融素养；推进金融服务乡村振兴，缩小城乡差距；鼓励发展绿色金融，服务生态文明建设。第三，加快金融科技发展与应用。鼓励创新金融产品、金融业态、金融服务、金融技术、金融理念，推进金融科技创新和金融监管创新。第四，加强金融风险防范。持续健全风险监测预警机制，推动金融安全宣传普及。</w:t>
      </w:r>
    </w:p>
    <w:p>
      <w:pPr>
        <w:pStyle w:val="4"/>
        <w:spacing w:before="0" w:after="0" w:line="560" w:lineRule="exact"/>
        <w:ind w:firstLine="640" w:firstLineChars="200"/>
        <w:jc w:val="both"/>
        <w:rPr>
          <w:rFonts w:ascii="黑体" w:hAnsi="黑体"/>
          <w:b w:val="0"/>
          <w:bCs w:val="0"/>
          <w:color w:val="000000"/>
          <w:sz w:val="32"/>
        </w:rPr>
      </w:pPr>
      <w:bookmarkStart w:id="85" w:name="_Toc59789955"/>
      <w:r>
        <w:rPr>
          <w:rFonts w:hint="eastAsia" w:ascii="黑体" w:hAnsi="黑体"/>
          <w:b w:val="0"/>
          <w:bCs w:val="0"/>
          <w:color w:val="000000"/>
          <w:sz w:val="32"/>
        </w:rPr>
        <w:t>三、发展目标</w:t>
      </w:r>
      <w:bookmarkEnd w:id="85"/>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十四五”期间，大兴区金融产业聚焦金融促进实体经济发展以及金融科技促进金融服务业开放与升级两个关键点，在风险可控的前提下实现“科技+金融”更好地融合，积极促进“两区”建设与临空经济发展；积极盘活存量国有资产，为重大项目和本区基础设施建设提供金融支持；支持农村金融、普惠金融、绿色金融发展;从战略高度重视金融科技发展，培育金融科技创新试点，打造创新生态系统，用金融科技的创新手段提升金融监管水平，防范金融风险，确保在金融创新与金融开放下的金融安全；探索数字经济、金融科技产学研一体化平台等新型金融模式；打造金融高端峰会，提升金融服务京津冀协同发展水平，搭建常态化金融合作对接机制；</w:t>
      </w:r>
      <w:r>
        <w:rPr>
          <w:rFonts w:hint="eastAsia" w:ascii="仿宋_GB2312" w:hAnsi="仿宋_GB2312" w:eastAsia="仿宋_GB2312" w:cs="仿宋_GB2312"/>
          <w:sz w:val="32"/>
          <w:szCs w:val="32"/>
        </w:rPr>
        <w:t>按照“两区”建设工作部署，有序推进和支持金融开放，吸引更多国际金融组织、外资金融机构落户，促进金融机构和金融人才加速聚集，实现大兴区金融业健康可持续发展。</w:t>
      </w:r>
    </w:p>
    <w:p>
      <w:pPr>
        <w:pStyle w:val="25"/>
        <w:rPr>
          <w:rFonts w:ascii="仿宋_GB2312" w:hAnsi="仿宋_GB2312" w:cs="仿宋_GB2312"/>
          <w:szCs w:val="32"/>
        </w:rPr>
      </w:pPr>
    </w:p>
    <w:p>
      <w:pPr>
        <w:rPr>
          <w:rFonts w:ascii="仿宋_GB2312" w:hAnsi="仿宋_GB2312" w:eastAsia="仿宋_GB2312" w:cs="仿宋_GB2312"/>
          <w:sz w:val="32"/>
          <w:szCs w:val="32"/>
        </w:rPr>
      </w:pPr>
    </w:p>
    <w:p>
      <w:pPr>
        <w:pStyle w:val="25"/>
        <w:rPr>
          <w:rFonts w:ascii="仿宋_GB2312" w:hAnsi="仿宋_GB2312" w:cs="仿宋_GB2312"/>
          <w:szCs w:val="32"/>
        </w:rPr>
      </w:pPr>
    </w:p>
    <w:p>
      <w:pPr>
        <w:rPr>
          <w:rFonts w:ascii="仿宋_GB2312" w:hAnsi="仿宋_GB2312" w:eastAsia="仿宋_GB2312" w:cs="仿宋_GB2312"/>
          <w:sz w:val="32"/>
          <w:szCs w:val="32"/>
        </w:rPr>
      </w:pPr>
    </w:p>
    <w:p/>
    <w:p>
      <w:pPr>
        <w:pStyle w:val="25"/>
        <w:jc w:val="center"/>
      </w:pPr>
      <w:r>
        <w:rPr>
          <w:rFonts w:hint="eastAsia"/>
        </w:rPr>
        <w:t>表1</w:t>
      </w:r>
      <w:r>
        <w:t xml:space="preserve"> </w:t>
      </w:r>
      <w:r>
        <w:rPr>
          <w:rFonts w:hint="eastAsia"/>
        </w:rPr>
        <w:t>大兴区“十四五”时期金融业主要发展目标</w:t>
      </w:r>
    </w:p>
    <w:p/>
    <w:tbl>
      <w:tblPr>
        <w:tblStyle w:val="24"/>
        <w:tblW w:w="8331" w:type="dxa"/>
        <w:tblInd w:w="0" w:type="dxa"/>
        <w:tblLayout w:type="fixed"/>
        <w:tblCellMar>
          <w:top w:w="0" w:type="dxa"/>
          <w:left w:w="108" w:type="dxa"/>
          <w:bottom w:w="0" w:type="dxa"/>
          <w:right w:w="108" w:type="dxa"/>
        </w:tblCellMar>
      </w:tblPr>
      <w:tblGrid>
        <w:gridCol w:w="1116"/>
        <w:gridCol w:w="3823"/>
        <w:gridCol w:w="1248"/>
        <w:gridCol w:w="1006"/>
        <w:gridCol w:w="1138"/>
      </w:tblGrid>
      <w:tr>
        <w:tblPrEx>
          <w:tblLayout w:type="fixed"/>
          <w:tblCellMar>
            <w:top w:w="0" w:type="dxa"/>
            <w:left w:w="108" w:type="dxa"/>
            <w:bottom w:w="0" w:type="dxa"/>
            <w:right w:w="108" w:type="dxa"/>
          </w:tblCellMar>
        </w:tblPrEx>
        <w:trPr>
          <w:trHeight w:val="976" w:hRule="atLeast"/>
        </w:trPr>
        <w:tc>
          <w:tcPr>
            <w:tcW w:w="111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等线" w:eastAsia="仿宋_GB2312"/>
                <w:b/>
                <w:bCs/>
                <w:color w:val="000000"/>
                <w:sz w:val="22"/>
                <w:szCs w:val="22"/>
              </w:rPr>
            </w:pPr>
            <w:r>
              <w:rPr>
                <w:rFonts w:hint="eastAsia" w:ascii="仿宋_GB2312" w:hAnsi="等线" w:eastAsia="仿宋_GB2312"/>
                <w:b/>
                <w:bCs/>
                <w:color w:val="000000"/>
                <w:sz w:val="22"/>
                <w:szCs w:val="22"/>
              </w:rPr>
              <w:t>领域</w:t>
            </w:r>
          </w:p>
        </w:tc>
        <w:tc>
          <w:tcPr>
            <w:tcW w:w="3823" w:type="dxa"/>
            <w:tcBorders>
              <w:top w:val="single" w:color="auto" w:sz="4" w:space="0"/>
              <w:left w:val="nil"/>
              <w:bottom w:val="single" w:color="auto" w:sz="4" w:space="0"/>
              <w:right w:val="single" w:color="auto" w:sz="4" w:space="0"/>
            </w:tcBorders>
            <w:vAlign w:val="center"/>
          </w:tcPr>
          <w:p>
            <w:pPr>
              <w:jc w:val="center"/>
              <w:rPr>
                <w:rFonts w:ascii="仿宋_GB2312" w:hAnsi="等线" w:eastAsia="仿宋_GB2312"/>
                <w:b/>
                <w:bCs/>
                <w:color w:val="000000"/>
                <w:sz w:val="22"/>
                <w:szCs w:val="22"/>
              </w:rPr>
            </w:pPr>
            <w:r>
              <w:rPr>
                <w:rFonts w:hint="eastAsia" w:ascii="仿宋_GB2312" w:hAnsi="等线" w:eastAsia="仿宋_GB2312"/>
                <w:b/>
                <w:bCs/>
                <w:color w:val="000000"/>
                <w:sz w:val="22"/>
                <w:szCs w:val="22"/>
              </w:rPr>
              <w:t>指标</w:t>
            </w:r>
          </w:p>
        </w:tc>
        <w:tc>
          <w:tcPr>
            <w:tcW w:w="1248"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等线" w:cs="Times New Roman"/>
                <w:b/>
                <w:bCs/>
                <w:color w:val="000000"/>
                <w:sz w:val="22"/>
                <w:szCs w:val="22"/>
              </w:rPr>
            </w:pPr>
            <w:r>
              <w:rPr>
                <w:rFonts w:ascii="Times New Roman" w:hAnsi="Times New Roman" w:eastAsia="等线" w:cs="Times New Roman"/>
                <w:b/>
                <w:bCs/>
                <w:color w:val="000000"/>
                <w:sz w:val="22"/>
                <w:szCs w:val="22"/>
              </w:rPr>
              <w:t>2020</w:t>
            </w:r>
            <w:r>
              <w:rPr>
                <w:rFonts w:hint="eastAsia" w:ascii="仿宋_GB2312" w:hAnsi="Times New Roman" w:eastAsia="仿宋_GB2312" w:cs="Times New Roman"/>
                <w:b/>
                <w:bCs/>
                <w:color w:val="000000"/>
                <w:sz w:val="22"/>
                <w:szCs w:val="22"/>
              </w:rPr>
              <w:t>年</w:t>
            </w:r>
          </w:p>
        </w:tc>
        <w:tc>
          <w:tcPr>
            <w:tcW w:w="1006"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等线" w:cs="Times New Roman"/>
                <w:b/>
                <w:bCs/>
                <w:color w:val="000000"/>
                <w:sz w:val="22"/>
                <w:szCs w:val="22"/>
              </w:rPr>
            </w:pPr>
            <w:r>
              <w:rPr>
                <w:rFonts w:ascii="Times New Roman" w:hAnsi="Times New Roman" w:eastAsia="等线" w:cs="Times New Roman"/>
                <w:b/>
                <w:bCs/>
                <w:color w:val="000000"/>
                <w:sz w:val="22"/>
                <w:szCs w:val="22"/>
              </w:rPr>
              <w:t>2025</w:t>
            </w:r>
            <w:r>
              <w:rPr>
                <w:rFonts w:hint="eastAsia" w:ascii="仿宋_GB2312" w:hAnsi="Times New Roman" w:eastAsia="仿宋_GB2312" w:cs="Times New Roman"/>
                <w:b/>
                <w:bCs/>
                <w:color w:val="000000"/>
                <w:sz w:val="22"/>
                <w:szCs w:val="22"/>
              </w:rPr>
              <w:t>年</w:t>
            </w:r>
          </w:p>
        </w:tc>
        <w:tc>
          <w:tcPr>
            <w:tcW w:w="1138" w:type="dxa"/>
            <w:tcBorders>
              <w:top w:val="single" w:color="auto" w:sz="4" w:space="0"/>
              <w:left w:val="nil"/>
              <w:bottom w:val="single" w:color="auto" w:sz="4" w:space="0"/>
              <w:right w:val="single" w:color="auto" w:sz="4" w:space="0"/>
            </w:tcBorders>
            <w:vAlign w:val="center"/>
          </w:tcPr>
          <w:p>
            <w:pPr>
              <w:jc w:val="center"/>
              <w:rPr>
                <w:rFonts w:ascii="仿宋_GB2312" w:hAnsi="等线" w:eastAsia="仿宋_GB2312"/>
                <w:b/>
                <w:bCs/>
                <w:color w:val="000000"/>
                <w:sz w:val="22"/>
                <w:szCs w:val="22"/>
              </w:rPr>
            </w:pPr>
            <w:r>
              <w:rPr>
                <w:rFonts w:hint="eastAsia" w:ascii="仿宋_GB2312" w:hAnsi="等线" w:eastAsia="仿宋_GB2312"/>
                <w:b/>
                <w:bCs/>
                <w:color w:val="000000"/>
                <w:sz w:val="22"/>
                <w:szCs w:val="22"/>
              </w:rPr>
              <w:t>指标属性</w:t>
            </w:r>
          </w:p>
        </w:tc>
      </w:tr>
      <w:tr>
        <w:tblPrEx>
          <w:tblLayout w:type="fixed"/>
          <w:tblCellMar>
            <w:top w:w="0" w:type="dxa"/>
            <w:left w:w="108" w:type="dxa"/>
            <w:bottom w:w="0" w:type="dxa"/>
            <w:right w:w="108" w:type="dxa"/>
          </w:tblCellMar>
        </w:tblPrEx>
        <w:trPr>
          <w:trHeight w:val="495" w:hRule="atLeast"/>
        </w:trPr>
        <w:tc>
          <w:tcPr>
            <w:tcW w:w="1116" w:type="dxa"/>
            <w:vMerge w:val="restart"/>
            <w:tcBorders>
              <w:top w:val="nil"/>
              <w:left w:val="single" w:color="auto" w:sz="4" w:space="0"/>
              <w:right w:val="single" w:color="auto" w:sz="4" w:space="0"/>
            </w:tcBorders>
            <w:vAlign w:val="center"/>
          </w:tcPr>
          <w:p>
            <w:pPr>
              <w:jc w:val="center"/>
              <w:rPr>
                <w:rFonts w:ascii="仿宋_GB2312" w:hAnsi="等线" w:eastAsia="仿宋_GB2312"/>
                <w:b/>
                <w:bCs/>
                <w:color w:val="000000"/>
                <w:sz w:val="22"/>
                <w:szCs w:val="22"/>
              </w:rPr>
            </w:pPr>
            <w:r>
              <w:rPr>
                <w:rFonts w:hint="eastAsia" w:ascii="仿宋_GB2312" w:hAnsi="等线" w:eastAsia="仿宋_GB2312"/>
                <w:b/>
                <w:bCs/>
                <w:color w:val="000000"/>
                <w:sz w:val="22"/>
                <w:szCs w:val="22"/>
              </w:rPr>
              <w:t>金融</w:t>
            </w:r>
          </w:p>
          <w:p>
            <w:pPr>
              <w:jc w:val="center"/>
              <w:rPr>
                <w:rFonts w:ascii="仿宋_GB2312" w:hAnsi="等线" w:eastAsia="仿宋_GB2312"/>
                <w:b/>
                <w:bCs/>
                <w:color w:val="000000"/>
                <w:sz w:val="22"/>
                <w:szCs w:val="22"/>
              </w:rPr>
            </w:pPr>
            <w:r>
              <w:rPr>
                <w:rFonts w:hint="eastAsia" w:ascii="仿宋_GB2312" w:hAnsi="等线" w:eastAsia="仿宋_GB2312"/>
                <w:b/>
                <w:bCs/>
                <w:color w:val="000000"/>
                <w:sz w:val="22"/>
                <w:szCs w:val="22"/>
              </w:rPr>
              <w:t>体系</w:t>
            </w:r>
          </w:p>
          <w:p>
            <w:pPr>
              <w:jc w:val="center"/>
              <w:rPr>
                <w:rFonts w:ascii="仿宋_GB2312" w:hAnsi="等线" w:eastAsia="仿宋_GB2312"/>
                <w:b/>
                <w:bCs/>
                <w:color w:val="000000"/>
                <w:sz w:val="22"/>
                <w:szCs w:val="22"/>
              </w:rPr>
            </w:pPr>
            <w:r>
              <w:rPr>
                <w:rFonts w:hint="eastAsia" w:ascii="仿宋_GB2312" w:hAnsi="等线" w:eastAsia="仿宋_GB2312"/>
                <w:b/>
                <w:bCs/>
                <w:color w:val="000000"/>
                <w:sz w:val="22"/>
                <w:szCs w:val="22"/>
              </w:rPr>
              <w:t>建设</w:t>
            </w:r>
          </w:p>
        </w:tc>
        <w:tc>
          <w:tcPr>
            <w:tcW w:w="3823" w:type="dxa"/>
            <w:tcBorders>
              <w:top w:val="nil"/>
              <w:left w:val="nil"/>
              <w:bottom w:val="single" w:color="auto" w:sz="4" w:space="0"/>
              <w:right w:val="single" w:color="auto" w:sz="4" w:space="0"/>
            </w:tcBorders>
            <w:vAlign w:val="center"/>
          </w:tcPr>
          <w:p>
            <w:pPr>
              <w:jc w:val="center"/>
              <w:rPr>
                <w:rFonts w:ascii="仿宋_GB2312" w:hAnsi="等线" w:eastAsia="仿宋_GB2312"/>
                <w:color w:val="000000"/>
                <w:sz w:val="22"/>
                <w:szCs w:val="22"/>
              </w:rPr>
            </w:pPr>
            <w:r>
              <w:rPr>
                <w:rFonts w:hint="eastAsia" w:ascii="仿宋_GB2312" w:hAnsi="等线" w:eastAsia="仿宋_GB2312"/>
                <w:color w:val="000000"/>
                <w:sz w:val="22"/>
                <w:szCs w:val="22"/>
              </w:rPr>
              <w:t>银行</w:t>
            </w:r>
          </w:p>
        </w:tc>
        <w:tc>
          <w:tcPr>
            <w:tcW w:w="1248" w:type="dxa"/>
            <w:tcBorders>
              <w:top w:val="nil"/>
              <w:left w:val="nil"/>
              <w:bottom w:val="single" w:color="auto" w:sz="4" w:space="0"/>
              <w:right w:val="single" w:color="auto" w:sz="4" w:space="0"/>
            </w:tcBorders>
            <w:vAlign w:val="center"/>
          </w:tcPr>
          <w:p>
            <w:pPr>
              <w:jc w:val="center"/>
              <w:rPr>
                <w:rFonts w:ascii="Times New Roman" w:hAnsi="Times New Roman" w:eastAsia="等线" w:cs="Times New Roman"/>
                <w:color w:val="000000"/>
                <w:sz w:val="22"/>
                <w:szCs w:val="22"/>
              </w:rPr>
            </w:pPr>
            <w:r>
              <w:rPr>
                <w:rFonts w:ascii="Times New Roman" w:hAnsi="Times New Roman" w:eastAsia="等线" w:cs="Times New Roman"/>
                <w:color w:val="000000"/>
                <w:sz w:val="22"/>
                <w:szCs w:val="22"/>
              </w:rPr>
              <w:t>24</w:t>
            </w:r>
            <w:r>
              <w:rPr>
                <w:rFonts w:hint="eastAsia" w:ascii="仿宋_GB2312" w:hAnsi="Times New Roman" w:eastAsia="仿宋_GB2312" w:cs="Times New Roman"/>
                <w:color w:val="000000"/>
                <w:sz w:val="22"/>
                <w:szCs w:val="22"/>
              </w:rPr>
              <w:t>家</w:t>
            </w:r>
          </w:p>
        </w:tc>
        <w:tc>
          <w:tcPr>
            <w:tcW w:w="1006" w:type="dxa"/>
            <w:tcBorders>
              <w:top w:val="nil"/>
              <w:left w:val="nil"/>
              <w:bottom w:val="single" w:color="auto" w:sz="4" w:space="0"/>
              <w:right w:val="single" w:color="auto" w:sz="4" w:space="0"/>
            </w:tcBorders>
            <w:vAlign w:val="center"/>
          </w:tcPr>
          <w:p>
            <w:pPr>
              <w:jc w:val="center"/>
              <w:rPr>
                <w:rFonts w:ascii="Times New Roman" w:hAnsi="Times New Roman" w:eastAsia="等线" w:cs="Times New Roman"/>
                <w:color w:val="000000"/>
                <w:sz w:val="22"/>
                <w:szCs w:val="22"/>
              </w:rPr>
            </w:pPr>
            <w:r>
              <w:rPr>
                <w:rFonts w:ascii="Times New Roman" w:hAnsi="Times New Roman" w:eastAsia="等线" w:cs="Times New Roman"/>
                <w:color w:val="000000"/>
                <w:sz w:val="22"/>
                <w:szCs w:val="22"/>
              </w:rPr>
              <w:t>30</w:t>
            </w:r>
            <w:r>
              <w:rPr>
                <w:rFonts w:hint="eastAsia" w:ascii="仿宋_GB2312" w:hAnsi="Times New Roman" w:eastAsia="仿宋_GB2312" w:cs="Times New Roman"/>
                <w:color w:val="000000"/>
                <w:sz w:val="22"/>
                <w:szCs w:val="22"/>
              </w:rPr>
              <w:t>家</w:t>
            </w:r>
          </w:p>
        </w:tc>
        <w:tc>
          <w:tcPr>
            <w:tcW w:w="1138" w:type="dxa"/>
            <w:vMerge w:val="restart"/>
            <w:tcBorders>
              <w:top w:val="nil"/>
              <w:left w:val="single" w:color="auto" w:sz="4" w:space="0"/>
              <w:right w:val="single" w:color="auto" w:sz="4" w:space="0"/>
            </w:tcBorders>
            <w:vAlign w:val="center"/>
          </w:tcPr>
          <w:p>
            <w:pPr>
              <w:jc w:val="center"/>
              <w:rPr>
                <w:rFonts w:ascii="仿宋_GB2312" w:hAnsi="等线" w:eastAsia="仿宋_GB2312"/>
                <w:color w:val="000000"/>
                <w:sz w:val="22"/>
                <w:szCs w:val="22"/>
              </w:rPr>
            </w:pPr>
            <w:r>
              <w:rPr>
                <w:rFonts w:hint="eastAsia" w:ascii="仿宋_GB2312" w:hAnsi="等线" w:eastAsia="仿宋_GB2312"/>
                <w:color w:val="000000"/>
                <w:sz w:val="22"/>
                <w:szCs w:val="22"/>
              </w:rPr>
              <w:t>预期性</w:t>
            </w:r>
          </w:p>
        </w:tc>
      </w:tr>
      <w:tr>
        <w:tblPrEx>
          <w:tblLayout w:type="fixed"/>
          <w:tblCellMar>
            <w:top w:w="0" w:type="dxa"/>
            <w:left w:w="108" w:type="dxa"/>
            <w:bottom w:w="0" w:type="dxa"/>
            <w:right w:w="108" w:type="dxa"/>
          </w:tblCellMar>
        </w:tblPrEx>
        <w:trPr>
          <w:trHeight w:val="495" w:hRule="atLeast"/>
        </w:trPr>
        <w:tc>
          <w:tcPr>
            <w:tcW w:w="1116" w:type="dxa"/>
            <w:vMerge w:val="continue"/>
            <w:tcBorders>
              <w:left w:val="single" w:color="auto" w:sz="4" w:space="0"/>
              <w:right w:val="single" w:color="auto" w:sz="4" w:space="0"/>
            </w:tcBorders>
            <w:vAlign w:val="center"/>
          </w:tcPr>
          <w:p>
            <w:pPr>
              <w:rPr>
                <w:rFonts w:ascii="仿宋_GB2312" w:hAnsi="等线" w:eastAsia="仿宋_GB2312"/>
                <w:b/>
                <w:bCs/>
                <w:color w:val="000000"/>
                <w:sz w:val="22"/>
                <w:szCs w:val="22"/>
              </w:rPr>
            </w:pPr>
          </w:p>
        </w:tc>
        <w:tc>
          <w:tcPr>
            <w:tcW w:w="3823" w:type="dxa"/>
            <w:tcBorders>
              <w:top w:val="nil"/>
              <w:left w:val="nil"/>
              <w:bottom w:val="single" w:color="auto" w:sz="4" w:space="0"/>
              <w:right w:val="single" w:color="auto" w:sz="4" w:space="0"/>
            </w:tcBorders>
            <w:vAlign w:val="center"/>
          </w:tcPr>
          <w:p>
            <w:pPr>
              <w:jc w:val="center"/>
              <w:rPr>
                <w:rFonts w:ascii="仿宋_GB2312" w:hAnsi="等线" w:eastAsia="仿宋_GB2312"/>
                <w:color w:val="000000"/>
                <w:sz w:val="22"/>
                <w:szCs w:val="22"/>
              </w:rPr>
            </w:pPr>
            <w:r>
              <w:rPr>
                <w:rFonts w:hint="eastAsia" w:ascii="仿宋_GB2312" w:hAnsi="等线" w:eastAsia="仿宋_GB2312"/>
                <w:color w:val="000000"/>
                <w:sz w:val="22"/>
                <w:szCs w:val="22"/>
              </w:rPr>
              <w:t>证券公司（含营业部）</w:t>
            </w:r>
          </w:p>
        </w:tc>
        <w:tc>
          <w:tcPr>
            <w:tcW w:w="1248" w:type="dxa"/>
            <w:tcBorders>
              <w:top w:val="nil"/>
              <w:left w:val="nil"/>
              <w:bottom w:val="single" w:color="auto" w:sz="4" w:space="0"/>
              <w:right w:val="single" w:color="auto" w:sz="4" w:space="0"/>
            </w:tcBorders>
            <w:vAlign w:val="center"/>
          </w:tcPr>
          <w:p>
            <w:pPr>
              <w:jc w:val="center"/>
              <w:rPr>
                <w:rFonts w:ascii="Times New Roman" w:hAnsi="Times New Roman" w:eastAsia="等线" w:cs="Times New Roman"/>
                <w:color w:val="000000"/>
                <w:sz w:val="22"/>
                <w:szCs w:val="22"/>
              </w:rPr>
            </w:pPr>
            <w:r>
              <w:rPr>
                <w:rFonts w:ascii="Times New Roman" w:hAnsi="Times New Roman" w:eastAsia="等线" w:cs="Times New Roman"/>
                <w:color w:val="000000"/>
                <w:sz w:val="22"/>
                <w:szCs w:val="22"/>
              </w:rPr>
              <w:t>8</w:t>
            </w:r>
            <w:r>
              <w:rPr>
                <w:rFonts w:hint="eastAsia" w:ascii="仿宋_GB2312" w:hAnsi="Times New Roman" w:eastAsia="仿宋_GB2312" w:cs="Times New Roman"/>
                <w:color w:val="000000"/>
                <w:sz w:val="22"/>
                <w:szCs w:val="22"/>
              </w:rPr>
              <w:t>家</w:t>
            </w:r>
          </w:p>
        </w:tc>
        <w:tc>
          <w:tcPr>
            <w:tcW w:w="1006" w:type="dxa"/>
            <w:tcBorders>
              <w:top w:val="nil"/>
              <w:left w:val="nil"/>
              <w:bottom w:val="single" w:color="auto" w:sz="4" w:space="0"/>
              <w:right w:val="single" w:color="auto" w:sz="4" w:space="0"/>
            </w:tcBorders>
            <w:vAlign w:val="center"/>
          </w:tcPr>
          <w:p>
            <w:pPr>
              <w:jc w:val="center"/>
              <w:rPr>
                <w:rFonts w:ascii="Times New Roman" w:hAnsi="Times New Roman" w:eastAsia="等线" w:cs="Times New Roman"/>
                <w:color w:val="000000"/>
                <w:sz w:val="22"/>
                <w:szCs w:val="22"/>
              </w:rPr>
            </w:pPr>
            <w:r>
              <w:rPr>
                <w:rFonts w:ascii="Times New Roman" w:hAnsi="Times New Roman" w:eastAsia="等线" w:cs="Times New Roman"/>
                <w:color w:val="000000"/>
                <w:sz w:val="22"/>
                <w:szCs w:val="22"/>
              </w:rPr>
              <w:t>10</w:t>
            </w:r>
            <w:r>
              <w:rPr>
                <w:rFonts w:hint="eastAsia" w:ascii="仿宋_GB2312" w:hAnsi="Times New Roman" w:eastAsia="仿宋_GB2312" w:cs="Times New Roman"/>
                <w:color w:val="000000"/>
                <w:sz w:val="22"/>
                <w:szCs w:val="22"/>
              </w:rPr>
              <w:t>家</w:t>
            </w:r>
          </w:p>
        </w:tc>
        <w:tc>
          <w:tcPr>
            <w:tcW w:w="1138" w:type="dxa"/>
            <w:vMerge w:val="continue"/>
            <w:tcBorders>
              <w:left w:val="single" w:color="auto" w:sz="4" w:space="0"/>
              <w:right w:val="single" w:color="auto" w:sz="4" w:space="0"/>
            </w:tcBorders>
            <w:vAlign w:val="center"/>
          </w:tcPr>
          <w:p>
            <w:pPr>
              <w:rPr>
                <w:rFonts w:ascii="仿宋_GB2312" w:hAnsi="等线" w:eastAsia="仿宋_GB2312"/>
                <w:color w:val="000000"/>
                <w:sz w:val="22"/>
                <w:szCs w:val="22"/>
              </w:rPr>
            </w:pPr>
          </w:p>
        </w:tc>
      </w:tr>
      <w:tr>
        <w:tblPrEx>
          <w:tblLayout w:type="fixed"/>
          <w:tblCellMar>
            <w:top w:w="0" w:type="dxa"/>
            <w:left w:w="108" w:type="dxa"/>
            <w:bottom w:w="0" w:type="dxa"/>
            <w:right w:w="108" w:type="dxa"/>
          </w:tblCellMar>
        </w:tblPrEx>
        <w:trPr>
          <w:trHeight w:val="495" w:hRule="atLeast"/>
        </w:trPr>
        <w:tc>
          <w:tcPr>
            <w:tcW w:w="1116" w:type="dxa"/>
            <w:vMerge w:val="continue"/>
            <w:tcBorders>
              <w:left w:val="single" w:color="auto" w:sz="4" w:space="0"/>
              <w:right w:val="single" w:color="auto" w:sz="4" w:space="0"/>
            </w:tcBorders>
            <w:vAlign w:val="center"/>
          </w:tcPr>
          <w:p>
            <w:pPr>
              <w:rPr>
                <w:rFonts w:ascii="仿宋_GB2312" w:hAnsi="等线" w:eastAsia="仿宋_GB2312"/>
                <w:b/>
                <w:bCs/>
                <w:color w:val="000000"/>
                <w:sz w:val="22"/>
                <w:szCs w:val="22"/>
              </w:rPr>
            </w:pPr>
          </w:p>
        </w:tc>
        <w:tc>
          <w:tcPr>
            <w:tcW w:w="3823" w:type="dxa"/>
            <w:tcBorders>
              <w:top w:val="nil"/>
              <w:left w:val="nil"/>
              <w:bottom w:val="single" w:color="auto" w:sz="4" w:space="0"/>
              <w:right w:val="single" w:color="auto" w:sz="4" w:space="0"/>
            </w:tcBorders>
            <w:vAlign w:val="center"/>
          </w:tcPr>
          <w:p>
            <w:pPr>
              <w:jc w:val="center"/>
              <w:rPr>
                <w:rFonts w:ascii="仿宋_GB2312" w:hAnsi="等线" w:eastAsia="仿宋_GB2312"/>
                <w:color w:val="000000"/>
                <w:sz w:val="22"/>
                <w:szCs w:val="22"/>
              </w:rPr>
            </w:pPr>
            <w:r>
              <w:rPr>
                <w:rFonts w:hint="eastAsia" w:ascii="仿宋_GB2312" w:hAnsi="等线" w:eastAsia="仿宋_GB2312"/>
                <w:color w:val="000000"/>
                <w:sz w:val="22"/>
                <w:szCs w:val="22"/>
              </w:rPr>
              <w:t>保险公司（含支公司及营销服务部）</w:t>
            </w:r>
          </w:p>
        </w:tc>
        <w:tc>
          <w:tcPr>
            <w:tcW w:w="1248" w:type="dxa"/>
            <w:tcBorders>
              <w:top w:val="nil"/>
              <w:left w:val="nil"/>
              <w:bottom w:val="single" w:color="auto" w:sz="4" w:space="0"/>
              <w:right w:val="single" w:color="auto" w:sz="4" w:space="0"/>
            </w:tcBorders>
            <w:vAlign w:val="center"/>
          </w:tcPr>
          <w:p>
            <w:pPr>
              <w:jc w:val="center"/>
              <w:rPr>
                <w:rFonts w:ascii="Times New Roman" w:hAnsi="Times New Roman" w:eastAsia="等线" w:cs="Times New Roman"/>
                <w:color w:val="000000"/>
                <w:sz w:val="22"/>
                <w:szCs w:val="22"/>
              </w:rPr>
            </w:pPr>
            <w:r>
              <w:rPr>
                <w:rFonts w:ascii="Times New Roman" w:hAnsi="Times New Roman" w:eastAsia="等线" w:cs="Times New Roman"/>
                <w:color w:val="000000"/>
                <w:sz w:val="22"/>
                <w:szCs w:val="22"/>
              </w:rPr>
              <w:t>30</w:t>
            </w:r>
            <w:r>
              <w:rPr>
                <w:rFonts w:hint="eastAsia" w:ascii="仿宋_GB2312" w:hAnsi="Times New Roman" w:eastAsia="仿宋_GB2312" w:cs="Times New Roman"/>
                <w:color w:val="000000"/>
                <w:sz w:val="22"/>
                <w:szCs w:val="22"/>
              </w:rPr>
              <w:t>家</w:t>
            </w:r>
          </w:p>
        </w:tc>
        <w:tc>
          <w:tcPr>
            <w:tcW w:w="1006" w:type="dxa"/>
            <w:tcBorders>
              <w:top w:val="nil"/>
              <w:left w:val="nil"/>
              <w:bottom w:val="single" w:color="auto" w:sz="4" w:space="0"/>
              <w:right w:val="single" w:color="auto" w:sz="4" w:space="0"/>
            </w:tcBorders>
            <w:vAlign w:val="center"/>
          </w:tcPr>
          <w:p>
            <w:pPr>
              <w:jc w:val="center"/>
              <w:rPr>
                <w:rFonts w:ascii="Times New Roman" w:hAnsi="Times New Roman" w:eastAsia="等线" w:cs="Times New Roman"/>
                <w:color w:val="000000"/>
                <w:sz w:val="22"/>
                <w:szCs w:val="22"/>
              </w:rPr>
            </w:pPr>
            <w:r>
              <w:rPr>
                <w:rFonts w:ascii="Times New Roman" w:hAnsi="Times New Roman" w:eastAsia="等线" w:cs="Times New Roman"/>
                <w:color w:val="000000"/>
                <w:sz w:val="22"/>
                <w:szCs w:val="22"/>
              </w:rPr>
              <w:t>35</w:t>
            </w:r>
            <w:r>
              <w:rPr>
                <w:rFonts w:hint="eastAsia" w:ascii="仿宋_GB2312" w:hAnsi="Times New Roman" w:eastAsia="仿宋_GB2312" w:cs="Times New Roman"/>
                <w:color w:val="000000"/>
                <w:sz w:val="22"/>
                <w:szCs w:val="22"/>
              </w:rPr>
              <w:t>家</w:t>
            </w:r>
          </w:p>
        </w:tc>
        <w:tc>
          <w:tcPr>
            <w:tcW w:w="1138" w:type="dxa"/>
            <w:vMerge w:val="continue"/>
            <w:tcBorders>
              <w:left w:val="single" w:color="auto" w:sz="4" w:space="0"/>
              <w:right w:val="single" w:color="auto" w:sz="4" w:space="0"/>
            </w:tcBorders>
            <w:vAlign w:val="center"/>
          </w:tcPr>
          <w:p>
            <w:pPr>
              <w:rPr>
                <w:rFonts w:ascii="仿宋_GB2312" w:hAnsi="等线" w:eastAsia="仿宋_GB2312"/>
                <w:color w:val="000000"/>
                <w:sz w:val="22"/>
                <w:szCs w:val="22"/>
              </w:rPr>
            </w:pPr>
          </w:p>
        </w:tc>
      </w:tr>
      <w:tr>
        <w:tblPrEx>
          <w:tblLayout w:type="fixed"/>
          <w:tblCellMar>
            <w:top w:w="0" w:type="dxa"/>
            <w:left w:w="108" w:type="dxa"/>
            <w:bottom w:w="0" w:type="dxa"/>
            <w:right w:w="108" w:type="dxa"/>
          </w:tblCellMar>
        </w:tblPrEx>
        <w:trPr>
          <w:trHeight w:val="495" w:hRule="atLeast"/>
        </w:trPr>
        <w:tc>
          <w:tcPr>
            <w:tcW w:w="1116" w:type="dxa"/>
            <w:vMerge w:val="continue"/>
            <w:tcBorders>
              <w:left w:val="single" w:color="auto" w:sz="4" w:space="0"/>
              <w:right w:val="single" w:color="auto" w:sz="4" w:space="0"/>
            </w:tcBorders>
            <w:vAlign w:val="center"/>
          </w:tcPr>
          <w:p>
            <w:pPr>
              <w:rPr>
                <w:rFonts w:ascii="仿宋_GB2312" w:hAnsi="等线" w:eastAsia="仿宋_GB2312"/>
                <w:b/>
                <w:bCs/>
                <w:color w:val="000000"/>
                <w:sz w:val="22"/>
                <w:szCs w:val="22"/>
              </w:rPr>
            </w:pPr>
          </w:p>
        </w:tc>
        <w:tc>
          <w:tcPr>
            <w:tcW w:w="3823" w:type="dxa"/>
            <w:tcBorders>
              <w:top w:val="nil"/>
              <w:left w:val="nil"/>
              <w:bottom w:val="single" w:color="auto" w:sz="4" w:space="0"/>
              <w:right w:val="single" w:color="auto" w:sz="4" w:space="0"/>
            </w:tcBorders>
            <w:vAlign w:val="center"/>
          </w:tcPr>
          <w:p>
            <w:pPr>
              <w:jc w:val="center"/>
              <w:rPr>
                <w:rFonts w:ascii="仿宋_GB2312" w:hAnsi="等线" w:eastAsia="仿宋_GB2312"/>
                <w:color w:val="000000"/>
                <w:sz w:val="22"/>
                <w:szCs w:val="22"/>
              </w:rPr>
            </w:pPr>
            <w:r>
              <w:rPr>
                <w:rFonts w:hint="eastAsia" w:ascii="仿宋_GB2312" w:hAnsi="等线" w:eastAsia="仿宋_GB2312"/>
                <w:color w:val="000000"/>
                <w:sz w:val="22"/>
                <w:szCs w:val="22"/>
              </w:rPr>
              <w:t>外资金融机构</w:t>
            </w:r>
          </w:p>
        </w:tc>
        <w:tc>
          <w:tcPr>
            <w:tcW w:w="1248" w:type="dxa"/>
            <w:tcBorders>
              <w:top w:val="nil"/>
              <w:left w:val="nil"/>
              <w:bottom w:val="single" w:color="auto" w:sz="4" w:space="0"/>
              <w:right w:val="single" w:color="auto" w:sz="4" w:space="0"/>
            </w:tcBorders>
            <w:vAlign w:val="center"/>
          </w:tcPr>
          <w:p>
            <w:pPr>
              <w:jc w:val="center"/>
              <w:rPr>
                <w:rFonts w:ascii="Times New Roman" w:hAnsi="Times New Roman" w:eastAsia="等线" w:cs="Times New Roman"/>
                <w:color w:val="000000"/>
                <w:sz w:val="22"/>
                <w:szCs w:val="22"/>
              </w:rPr>
            </w:pPr>
            <w:r>
              <w:rPr>
                <w:rFonts w:hint="eastAsia" w:ascii="仿宋_GB2312" w:hAnsi="等线" w:eastAsia="仿宋_GB2312"/>
                <w:color w:val="000000"/>
                <w:sz w:val="22"/>
                <w:szCs w:val="22"/>
              </w:rPr>
              <w:t>——</w:t>
            </w:r>
          </w:p>
        </w:tc>
        <w:tc>
          <w:tcPr>
            <w:tcW w:w="1006" w:type="dxa"/>
            <w:tcBorders>
              <w:top w:val="nil"/>
              <w:left w:val="nil"/>
              <w:bottom w:val="single" w:color="auto" w:sz="4" w:space="0"/>
              <w:right w:val="single" w:color="auto" w:sz="4" w:space="0"/>
            </w:tcBorders>
            <w:vAlign w:val="center"/>
          </w:tcPr>
          <w:p>
            <w:pPr>
              <w:jc w:val="center"/>
              <w:rPr>
                <w:rFonts w:ascii="Times New Roman" w:hAnsi="Times New Roman" w:eastAsia="等线" w:cs="Times New Roman"/>
                <w:color w:val="000000"/>
                <w:sz w:val="22"/>
                <w:szCs w:val="22"/>
              </w:rPr>
            </w:pPr>
            <w:r>
              <w:rPr>
                <w:rFonts w:ascii="Times New Roman" w:hAnsi="Times New Roman" w:eastAsia="等线" w:cs="Times New Roman"/>
                <w:color w:val="000000"/>
                <w:sz w:val="22"/>
                <w:szCs w:val="22"/>
              </w:rPr>
              <w:t>1</w:t>
            </w:r>
            <w:r>
              <w:rPr>
                <w:rFonts w:hint="eastAsia" w:ascii="仿宋_GB2312" w:hAnsi="Times New Roman" w:eastAsia="仿宋_GB2312" w:cs="Times New Roman"/>
                <w:color w:val="000000"/>
                <w:sz w:val="22"/>
                <w:szCs w:val="22"/>
              </w:rPr>
              <w:t>家</w:t>
            </w:r>
          </w:p>
        </w:tc>
        <w:tc>
          <w:tcPr>
            <w:tcW w:w="1138" w:type="dxa"/>
            <w:vMerge w:val="continue"/>
            <w:tcBorders>
              <w:left w:val="single" w:color="auto" w:sz="4" w:space="0"/>
              <w:right w:val="single" w:color="auto" w:sz="4" w:space="0"/>
            </w:tcBorders>
            <w:vAlign w:val="center"/>
          </w:tcPr>
          <w:p>
            <w:pPr>
              <w:rPr>
                <w:rFonts w:ascii="仿宋_GB2312" w:hAnsi="等线" w:eastAsia="仿宋_GB2312"/>
                <w:color w:val="000000"/>
                <w:sz w:val="22"/>
                <w:szCs w:val="22"/>
              </w:rPr>
            </w:pPr>
          </w:p>
        </w:tc>
      </w:tr>
      <w:tr>
        <w:tblPrEx>
          <w:tblLayout w:type="fixed"/>
          <w:tblCellMar>
            <w:top w:w="0" w:type="dxa"/>
            <w:left w:w="108" w:type="dxa"/>
            <w:bottom w:w="0" w:type="dxa"/>
            <w:right w:w="108" w:type="dxa"/>
          </w:tblCellMar>
        </w:tblPrEx>
        <w:trPr>
          <w:trHeight w:val="495" w:hRule="atLeast"/>
        </w:trPr>
        <w:tc>
          <w:tcPr>
            <w:tcW w:w="1116" w:type="dxa"/>
            <w:vMerge w:val="continue"/>
            <w:tcBorders>
              <w:left w:val="single" w:color="auto" w:sz="4" w:space="0"/>
              <w:bottom w:val="single" w:color="auto" w:sz="4" w:space="0"/>
              <w:right w:val="single" w:color="auto" w:sz="4" w:space="0"/>
            </w:tcBorders>
            <w:vAlign w:val="center"/>
          </w:tcPr>
          <w:p>
            <w:pPr>
              <w:rPr>
                <w:rFonts w:ascii="仿宋_GB2312" w:hAnsi="等线" w:eastAsia="仿宋_GB2312"/>
                <w:b/>
                <w:bCs/>
                <w:color w:val="000000"/>
                <w:sz w:val="22"/>
                <w:szCs w:val="22"/>
              </w:rPr>
            </w:pPr>
          </w:p>
        </w:tc>
        <w:tc>
          <w:tcPr>
            <w:tcW w:w="3823" w:type="dxa"/>
            <w:tcBorders>
              <w:top w:val="nil"/>
              <w:left w:val="nil"/>
              <w:bottom w:val="single" w:color="auto" w:sz="4" w:space="0"/>
              <w:right w:val="single" w:color="auto" w:sz="4" w:space="0"/>
            </w:tcBorders>
            <w:vAlign w:val="center"/>
          </w:tcPr>
          <w:p>
            <w:pPr>
              <w:jc w:val="center"/>
              <w:rPr>
                <w:rFonts w:ascii="仿宋_GB2312" w:hAnsi="等线" w:eastAsia="仿宋_GB2312"/>
                <w:color w:val="000000"/>
                <w:sz w:val="22"/>
                <w:szCs w:val="22"/>
              </w:rPr>
            </w:pPr>
            <w:r>
              <w:rPr>
                <w:rFonts w:hint="eastAsia" w:ascii="仿宋_GB2312" w:hAnsi="等线" w:eastAsia="仿宋_GB2312"/>
                <w:color w:val="000000"/>
                <w:sz w:val="22"/>
                <w:szCs w:val="22"/>
              </w:rPr>
              <w:t>股权投资机构</w:t>
            </w:r>
          </w:p>
        </w:tc>
        <w:tc>
          <w:tcPr>
            <w:tcW w:w="1248" w:type="dxa"/>
            <w:tcBorders>
              <w:top w:val="nil"/>
              <w:left w:val="nil"/>
              <w:bottom w:val="single" w:color="auto" w:sz="4" w:space="0"/>
              <w:right w:val="single" w:color="auto" w:sz="4" w:space="0"/>
            </w:tcBorders>
            <w:vAlign w:val="center"/>
          </w:tcPr>
          <w:p>
            <w:pPr>
              <w:jc w:val="center"/>
              <w:rPr>
                <w:rFonts w:ascii="仿宋_GB2312" w:hAnsi="等线" w:eastAsia="仿宋_GB2312"/>
                <w:color w:val="000000"/>
                <w:sz w:val="22"/>
                <w:szCs w:val="22"/>
              </w:rPr>
            </w:pPr>
            <w:r>
              <w:rPr>
                <w:rFonts w:hint="eastAsia" w:ascii="仿宋_GB2312" w:hAnsi="等线" w:eastAsia="仿宋_GB2312"/>
                <w:color w:val="000000"/>
                <w:sz w:val="22"/>
                <w:szCs w:val="22"/>
              </w:rPr>
              <w:t>——</w:t>
            </w:r>
          </w:p>
        </w:tc>
        <w:tc>
          <w:tcPr>
            <w:tcW w:w="1006" w:type="dxa"/>
            <w:tcBorders>
              <w:top w:val="nil"/>
              <w:left w:val="nil"/>
              <w:bottom w:val="single" w:color="auto" w:sz="4" w:space="0"/>
              <w:right w:val="single" w:color="auto" w:sz="4" w:space="0"/>
            </w:tcBorders>
            <w:vAlign w:val="center"/>
          </w:tcPr>
          <w:p>
            <w:pPr>
              <w:jc w:val="center"/>
              <w:rPr>
                <w:rFonts w:ascii="仿宋_GB2312" w:hAnsi="等线" w:eastAsia="仿宋_GB2312"/>
                <w:color w:val="000000"/>
                <w:sz w:val="22"/>
                <w:szCs w:val="22"/>
              </w:rPr>
            </w:pPr>
            <w:r>
              <w:rPr>
                <w:rFonts w:hint="eastAsia" w:ascii="Times New Roman" w:hAnsi="Times New Roman" w:eastAsia="等线" w:cs="Times New Roman"/>
                <w:color w:val="000000"/>
                <w:sz w:val="22"/>
                <w:szCs w:val="22"/>
              </w:rPr>
              <w:t>20</w:t>
            </w:r>
            <w:r>
              <w:rPr>
                <w:rFonts w:hint="eastAsia" w:ascii="仿宋_GB2312" w:hAnsi="等线" w:eastAsia="仿宋_GB2312"/>
                <w:color w:val="000000"/>
                <w:sz w:val="22"/>
                <w:szCs w:val="22"/>
              </w:rPr>
              <w:t>家</w:t>
            </w:r>
          </w:p>
        </w:tc>
        <w:tc>
          <w:tcPr>
            <w:tcW w:w="1138" w:type="dxa"/>
            <w:vMerge w:val="continue"/>
            <w:tcBorders>
              <w:left w:val="single" w:color="auto" w:sz="4" w:space="0"/>
              <w:bottom w:val="single" w:color="auto" w:sz="4" w:space="0"/>
              <w:right w:val="single" w:color="auto" w:sz="4" w:space="0"/>
            </w:tcBorders>
            <w:vAlign w:val="center"/>
          </w:tcPr>
          <w:p>
            <w:pPr>
              <w:rPr>
                <w:rFonts w:ascii="仿宋_GB2312" w:hAnsi="等线" w:eastAsia="仿宋_GB2312"/>
                <w:color w:val="000000"/>
                <w:sz w:val="22"/>
                <w:szCs w:val="22"/>
              </w:rPr>
            </w:pPr>
          </w:p>
        </w:tc>
      </w:tr>
      <w:tr>
        <w:tblPrEx>
          <w:tblLayout w:type="fixed"/>
          <w:tblCellMar>
            <w:top w:w="0" w:type="dxa"/>
            <w:left w:w="108" w:type="dxa"/>
            <w:bottom w:w="0" w:type="dxa"/>
            <w:right w:w="108" w:type="dxa"/>
          </w:tblCellMar>
        </w:tblPrEx>
        <w:trPr>
          <w:trHeight w:val="976" w:hRule="atLeast"/>
        </w:trPr>
        <w:tc>
          <w:tcPr>
            <w:tcW w:w="1116" w:type="dxa"/>
            <w:vMerge w:val="restart"/>
            <w:tcBorders>
              <w:top w:val="nil"/>
              <w:left w:val="single" w:color="auto" w:sz="4" w:space="0"/>
              <w:bottom w:val="single" w:color="auto" w:sz="4" w:space="0"/>
              <w:right w:val="single" w:color="auto" w:sz="4" w:space="0"/>
            </w:tcBorders>
            <w:vAlign w:val="center"/>
          </w:tcPr>
          <w:p>
            <w:pPr>
              <w:jc w:val="center"/>
              <w:rPr>
                <w:rFonts w:ascii="仿宋_GB2312" w:hAnsi="等线" w:eastAsia="仿宋_GB2312"/>
                <w:b/>
                <w:bCs/>
                <w:color w:val="000000"/>
                <w:sz w:val="22"/>
                <w:szCs w:val="22"/>
              </w:rPr>
            </w:pPr>
            <w:r>
              <w:rPr>
                <w:rFonts w:hint="eastAsia" w:ascii="仿宋_GB2312" w:hAnsi="等线" w:eastAsia="仿宋_GB2312"/>
                <w:b/>
                <w:bCs/>
                <w:color w:val="000000"/>
                <w:sz w:val="22"/>
                <w:szCs w:val="22"/>
              </w:rPr>
              <w:t>金融</w:t>
            </w:r>
          </w:p>
          <w:p>
            <w:pPr>
              <w:jc w:val="center"/>
              <w:rPr>
                <w:rFonts w:ascii="仿宋_GB2312" w:hAnsi="等线" w:eastAsia="仿宋_GB2312"/>
                <w:b/>
                <w:bCs/>
                <w:color w:val="000000"/>
                <w:sz w:val="22"/>
                <w:szCs w:val="22"/>
              </w:rPr>
            </w:pPr>
            <w:r>
              <w:rPr>
                <w:rFonts w:hint="eastAsia" w:ascii="仿宋_GB2312" w:hAnsi="等线" w:eastAsia="仿宋_GB2312"/>
                <w:b/>
                <w:bCs/>
                <w:color w:val="000000"/>
                <w:sz w:val="22"/>
                <w:szCs w:val="22"/>
              </w:rPr>
              <w:t>功能</w:t>
            </w:r>
          </w:p>
          <w:p>
            <w:pPr>
              <w:jc w:val="center"/>
              <w:rPr>
                <w:rFonts w:ascii="仿宋_GB2312" w:hAnsi="等线" w:eastAsia="仿宋_GB2312"/>
                <w:b/>
                <w:bCs/>
                <w:color w:val="000000"/>
                <w:sz w:val="22"/>
                <w:szCs w:val="22"/>
              </w:rPr>
            </w:pPr>
            <w:r>
              <w:rPr>
                <w:rFonts w:hint="eastAsia" w:ascii="仿宋_GB2312" w:hAnsi="等线" w:eastAsia="仿宋_GB2312"/>
                <w:b/>
                <w:bCs/>
                <w:color w:val="000000"/>
                <w:sz w:val="22"/>
                <w:szCs w:val="22"/>
              </w:rPr>
              <w:t>提升</w:t>
            </w:r>
          </w:p>
        </w:tc>
        <w:tc>
          <w:tcPr>
            <w:tcW w:w="3823" w:type="dxa"/>
            <w:tcBorders>
              <w:top w:val="nil"/>
              <w:left w:val="nil"/>
              <w:bottom w:val="single" w:color="auto" w:sz="4" w:space="0"/>
              <w:right w:val="single" w:color="auto" w:sz="4" w:space="0"/>
            </w:tcBorders>
            <w:vAlign w:val="center"/>
          </w:tcPr>
          <w:p>
            <w:pPr>
              <w:jc w:val="center"/>
              <w:rPr>
                <w:rFonts w:ascii="仿宋_GB2312" w:hAnsi="等线" w:eastAsia="仿宋_GB2312"/>
                <w:color w:val="000000"/>
                <w:sz w:val="22"/>
                <w:szCs w:val="22"/>
              </w:rPr>
            </w:pPr>
            <w:r>
              <w:rPr>
                <w:rFonts w:hint="eastAsia" w:ascii="仿宋_GB2312" w:hAnsi="等线" w:eastAsia="仿宋_GB2312"/>
                <w:color w:val="000000"/>
                <w:sz w:val="22"/>
                <w:szCs w:val="22"/>
              </w:rPr>
              <w:t>金融业增加值/地区生产总值</w:t>
            </w:r>
          </w:p>
        </w:tc>
        <w:tc>
          <w:tcPr>
            <w:tcW w:w="1248" w:type="dxa"/>
            <w:tcBorders>
              <w:top w:val="nil"/>
              <w:left w:val="nil"/>
              <w:bottom w:val="single" w:color="auto" w:sz="4" w:space="0"/>
              <w:right w:val="single" w:color="auto" w:sz="4" w:space="0"/>
            </w:tcBorders>
            <w:vAlign w:val="center"/>
          </w:tcPr>
          <w:p>
            <w:pPr>
              <w:jc w:val="center"/>
              <w:rPr>
                <w:rFonts w:ascii="Times New Roman" w:hAnsi="Times New Roman" w:eastAsia="等线" w:cs="Times New Roman"/>
                <w:color w:val="000000"/>
                <w:sz w:val="22"/>
                <w:szCs w:val="22"/>
              </w:rPr>
            </w:pPr>
            <w:r>
              <w:rPr>
                <w:rFonts w:ascii="Times New Roman" w:hAnsi="Times New Roman" w:eastAsia="等线" w:cs="Times New Roman"/>
                <w:color w:val="000000"/>
                <w:sz w:val="22"/>
                <w:szCs w:val="22"/>
              </w:rPr>
              <w:t>10.40%</w:t>
            </w:r>
          </w:p>
        </w:tc>
        <w:tc>
          <w:tcPr>
            <w:tcW w:w="1006" w:type="dxa"/>
            <w:tcBorders>
              <w:top w:val="nil"/>
              <w:left w:val="nil"/>
              <w:bottom w:val="single" w:color="auto" w:sz="4" w:space="0"/>
              <w:right w:val="single" w:color="auto" w:sz="4" w:space="0"/>
            </w:tcBorders>
            <w:vAlign w:val="center"/>
          </w:tcPr>
          <w:p>
            <w:pPr>
              <w:jc w:val="center"/>
              <w:rPr>
                <w:rFonts w:ascii="Times New Roman" w:hAnsi="Times New Roman" w:eastAsia="等线" w:cs="Times New Roman"/>
                <w:color w:val="000000"/>
                <w:sz w:val="22"/>
                <w:szCs w:val="22"/>
              </w:rPr>
            </w:pPr>
            <w:r>
              <w:rPr>
                <w:rFonts w:ascii="Times New Roman" w:hAnsi="Times New Roman" w:eastAsia="等线" w:cs="Times New Roman"/>
                <w:color w:val="000000"/>
                <w:sz w:val="22"/>
                <w:szCs w:val="22"/>
              </w:rPr>
              <w:t>11%</w:t>
            </w:r>
            <w:r>
              <w:rPr>
                <w:rFonts w:hint="eastAsia" w:ascii="Times New Roman" w:hAnsi="Times New Roman" w:eastAsia="等线" w:cs="Times New Roman"/>
                <w:color w:val="000000"/>
                <w:sz w:val="22"/>
                <w:szCs w:val="22"/>
              </w:rPr>
              <w:t>-</w:t>
            </w:r>
            <w:r>
              <w:rPr>
                <w:rFonts w:ascii="Times New Roman" w:hAnsi="Times New Roman" w:eastAsia="等线" w:cs="Times New Roman"/>
                <w:color w:val="000000"/>
                <w:sz w:val="22"/>
                <w:szCs w:val="22"/>
              </w:rPr>
              <w:t>13</w:t>
            </w:r>
            <w:r>
              <w:rPr>
                <w:rFonts w:hint="eastAsia" w:ascii="Times New Roman" w:hAnsi="Times New Roman" w:eastAsia="等线" w:cs="Times New Roman"/>
                <w:color w:val="000000"/>
                <w:sz w:val="22"/>
                <w:szCs w:val="22"/>
              </w:rPr>
              <w:t>%</w:t>
            </w:r>
          </w:p>
        </w:tc>
        <w:tc>
          <w:tcPr>
            <w:tcW w:w="1138" w:type="dxa"/>
            <w:vMerge w:val="restart"/>
            <w:tcBorders>
              <w:top w:val="nil"/>
              <w:left w:val="single" w:color="auto" w:sz="4" w:space="0"/>
              <w:bottom w:val="single" w:color="auto" w:sz="4" w:space="0"/>
              <w:right w:val="single" w:color="auto" w:sz="4" w:space="0"/>
            </w:tcBorders>
            <w:vAlign w:val="center"/>
          </w:tcPr>
          <w:p>
            <w:pPr>
              <w:jc w:val="center"/>
              <w:rPr>
                <w:rFonts w:ascii="仿宋_GB2312" w:hAnsi="等线" w:eastAsia="仿宋_GB2312"/>
                <w:color w:val="000000"/>
                <w:sz w:val="22"/>
                <w:szCs w:val="22"/>
              </w:rPr>
            </w:pPr>
            <w:r>
              <w:rPr>
                <w:rFonts w:hint="eastAsia" w:ascii="仿宋_GB2312" w:hAnsi="等线" w:eastAsia="仿宋_GB2312"/>
                <w:color w:val="000000"/>
                <w:sz w:val="22"/>
                <w:szCs w:val="22"/>
              </w:rPr>
              <w:t>预期性</w:t>
            </w:r>
          </w:p>
        </w:tc>
      </w:tr>
      <w:tr>
        <w:tblPrEx>
          <w:tblLayout w:type="fixed"/>
          <w:tblCellMar>
            <w:top w:w="0" w:type="dxa"/>
            <w:left w:w="108" w:type="dxa"/>
            <w:bottom w:w="0" w:type="dxa"/>
            <w:right w:w="108" w:type="dxa"/>
          </w:tblCellMar>
        </w:tblPrEx>
        <w:trPr>
          <w:trHeight w:val="976" w:hRule="atLeast"/>
        </w:trPr>
        <w:tc>
          <w:tcPr>
            <w:tcW w:w="1116" w:type="dxa"/>
            <w:vMerge w:val="continue"/>
            <w:tcBorders>
              <w:top w:val="nil"/>
              <w:left w:val="single" w:color="auto" w:sz="4" w:space="0"/>
              <w:bottom w:val="single" w:color="auto" w:sz="4" w:space="0"/>
              <w:right w:val="single" w:color="auto" w:sz="4" w:space="0"/>
            </w:tcBorders>
            <w:vAlign w:val="center"/>
          </w:tcPr>
          <w:p>
            <w:pPr>
              <w:rPr>
                <w:rFonts w:ascii="仿宋_GB2312" w:hAnsi="等线" w:eastAsia="仿宋_GB2312"/>
                <w:b/>
                <w:bCs/>
                <w:color w:val="000000"/>
                <w:sz w:val="22"/>
                <w:szCs w:val="22"/>
              </w:rPr>
            </w:pPr>
          </w:p>
        </w:tc>
        <w:tc>
          <w:tcPr>
            <w:tcW w:w="3823" w:type="dxa"/>
            <w:tcBorders>
              <w:top w:val="nil"/>
              <w:left w:val="nil"/>
              <w:bottom w:val="single" w:color="auto" w:sz="4" w:space="0"/>
              <w:right w:val="single" w:color="auto" w:sz="4" w:space="0"/>
            </w:tcBorders>
            <w:vAlign w:val="center"/>
          </w:tcPr>
          <w:p>
            <w:pPr>
              <w:jc w:val="center"/>
              <w:rPr>
                <w:rFonts w:ascii="仿宋_GB2312" w:hAnsi="等线" w:eastAsia="仿宋_GB2312"/>
                <w:color w:val="000000"/>
                <w:sz w:val="22"/>
                <w:szCs w:val="22"/>
              </w:rPr>
            </w:pPr>
            <w:r>
              <w:rPr>
                <w:rFonts w:hint="eastAsia" w:ascii="仿宋_GB2312" w:hAnsi="等线" w:eastAsia="仿宋_GB2312"/>
                <w:color w:val="000000"/>
                <w:sz w:val="22"/>
                <w:szCs w:val="22"/>
              </w:rPr>
              <w:t>存款余额</w:t>
            </w:r>
          </w:p>
        </w:tc>
        <w:tc>
          <w:tcPr>
            <w:tcW w:w="1248" w:type="dxa"/>
            <w:tcBorders>
              <w:top w:val="nil"/>
              <w:left w:val="nil"/>
              <w:bottom w:val="single" w:color="auto" w:sz="4" w:space="0"/>
              <w:right w:val="single" w:color="auto" w:sz="4" w:space="0"/>
            </w:tcBorders>
            <w:vAlign w:val="center"/>
          </w:tcPr>
          <w:p>
            <w:pPr>
              <w:jc w:val="center"/>
              <w:rPr>
                <w:rFonts w:ascii="Times New Roman" w:hAnsi="Times New Roman" w:eastAsia="等线" w:cs="Times New Roman"/>
                <w:color w:val="000000"/>
                <w:sz w:val="22"/>
                <w:szCs w:val="22"/>
              </w:rPr>
            </w:pPr>
            <w:r>
              <w:rPr>
                <w:rFonts w:ascii="Times New Roman" w:hAnsi="Times New Roman" w:eastAsia="等线" w:cs="Times New Roman"/>
                <w:color w:val="000000"/>
                <w:sz w:val="22"/>
                <w:szCs w:val="22"/>
              </w:rPr>
              <w:t>2855.57</w:t>
            </w:r>
            <w:r>
              <w:rPr>
                <w:rFonts w:hint="eastAsia" w:ascii="仿宋_GB2312" w:hAnsi="Times New Roman" w:eastAsia="仿宋_GB2312" w:cs="Times New Roman"/>
                <w:color w:val="000000"/>
                <w:sz w:val="22"/>
                <w:szCs w:val="22"/>
              </w:rPr>
              <w:t>亿元</w:t>
            </w:r>
          </w:p>
        </w:tc>
        <w:tc>
          <w:tcPr>
            <w:tcW w:w="1006" w:type="dxa"/>
            <w:tcBorders>
              <w:top w:val="nil"/>
              <w:left w:val="nil"/>
              <w:bottom w:val="single" w:color="auto" w:sz="4" w:space="0"/>
              <w:right w:val="single" w:color="auto" w:sz="4" w:space="0"/>
            </w:tcBorders>
            <w:vAlign w:val="center"/>
          </w:tcPr>
          <w:p>
            <w:pPr>
              <w:jc w:val="center"/>
              <w:rPr>
                <w:rFonts w:ascii="Times New Roman" w:hAnsi="Times New Roman" w:eastAsia="等线" w:cs="Times New Roman"/>
                <w:color w:val="000000"/>
                <w:sz w:val="22"/>
                <w:szCs w:val="22"/>
              </w:rPr>
            </w:pPr>
            <w:r>
              <w:rPr>
                <w:rFonts w:ascii="Times New Roman" w:hAnsi="Times New Roman" w:eastAsia="等线" w:cs="Times New Roman"/>
                <w:color w:val="000000"/>
                <w:sz w:val="22"/>
                <w:szCs w:val="22"/>
              </w:rPr>
              <w:t>3</w:t>
            </w:r>
            <w:r>
              <w:rPr>
                <w:rFonts w:hint="eastAsia" w:ascii="Times New Roman" w:hAnsi="Times New Roman" w:eastAsia="等线" w:cs="Times New Roman"/>
                <w:color w:val="000000"/>
                <w:sz w:val="22"/>
                <w:szCs w:val="22"/>
              </w:rPr>
              <w:t>0</w:t>
            </w:r>
            <w:r>
              <w:rPr>
                <w:rFonts w:ascii="Times New Roman" w:hAnsi="Times New Roman" w:eastAsia="等线" w:cs="Times New Roman"/>
                <w:color w:val="000000"/>
                <w:sz w:val="22"/>
                <w:szCs w:val="22"/>
              </w:rPr>
              <w:t>00</w:t>
            </w:r>
            <w:r>
              <w:rPr>
                <w:rFonts w:hint="eastAsia" w:ascii="仿宋_GB2312" w:hAnsi="Times New Roman" w:eastAsia="仿宋_GB2312" w:cs="Times New Roman"/>
                <w:color w:val="000000"/>
                <w:sz w:val="22"/>
                <w:szCs w:val="22"/>
              </w:rPr>
              <w:t>亿元</w:t>
            </w:r>
          </w:p>
        </w:tc>
        <w:tc>
          <w:tcPr>
            <w:tcW w:w="1138" w:type="dxa"/>
            <w:vMerge w:val="continue"/>
            <w:tcBorders>
              <w:top w:val="nil"/>
              <w:left w:val="single" w:color="auto" w:sz="4" w:space="0"/>
              <w:bottom w:val="single" w:color="auto" w:sz="4" w:space="0"/>
              <w:right w:val="single" w:color="auto" w:sz="4" w:space="0"/>
            </w:tcBorders>
            <w:vAlign w:val="center"/>
          </w:tcPr>
          <w:p>
            <w:pPr>
              <w:rPr>
                <w:rFonts w:ascii="仿宋_GB2312" w:hAnsi="等线" w:eastAsia="仿宋_GB2312"/>
                <w:color w:val="000000"/>
                <w:sz w:val="22"/>
                <w:szCs w:val="22"/>
              </w:rPr>
            </w:pPr>
          </w:p>
        </w:tc>
      </w:tr>
      <w:tr>
        <w:tblPrEx>
          <w:tblLayout w:type="fixed"/>
          <w:tblCellMar>
            <w:top w:w="0" w:type="dxa"/>
            <w:left w:w="108" w:type="dxa"/>
            <w:bottom w:w="0" w:type="dxa"/>
            <w:right w:w="108" w:type="dxa"/>
          </w:tblCellMar>
        </w:tblPrEx>
        <w:trPr>
          <w:trHeight w:val="976" w:hRule="atLeast"/>
        </w:trPr>
        <w:tc>
          <w:tcPr>
            <w:tcW w:w="1116" w:type="dxa"/>
            <w:vMerge w:val="continue"/>
            <w:tcBorders>
              <w:top w:val="nil"/>
              <w:left w:val="single" w:color="auto" w:sz="4" w:space="0"/>
              <w:bottom w:val="single" w:color="auto" w:sz="4" w:space="0"/>
              <w:right w:val="single" w:color="auto" w:sz="4" w:space="0"/>
            </w:tcBorders>
            <w:vAlign w:val="center"/>
          </w:tcPr>
          <w:p>
            <w:pPr>
              <w:rPr>
                <w:rFonts w:ascii="仿宋_GB2312" w:hAnsi="等线" w:eastAsia="仿宋_GB2312"/>
                <w:b/>
                <w:bCs/>
                <w:color w:val="000000"/>
                <w:sz w:val="22"/>
                <w:szCs w:val="22"/>
              </w:rPr>
            </w:pPr>
          </w:p>
        </w:tc>
        <w:tc>
          <w:tcPr>
            <w:tcW w:w="3823" w:type="dxa"/>
            <w:tcBorders>
              <w:top w:val="nil"/>
              <w:left w:val="nil"/>
              <w:bottom w:val="single" w:color="auto" w:sz="4" w:space="0"/>
              <w:right w:val="single" w:color="auto" w:sz="4" w:space="0"/>
            </w:tcBorders>
            <w:vAlign w:val="center"/>
          </w:tcPr>
          <w:p>
            <w:pPr>
              <w:jc w:val="center"/>
              <w:rPr>
                <w:rFonts w:ascii="仿宋_GB2312" w:hAnsi="等线" w:eastAsia="仿宋_GB2312"/>
                <w:color w:val="000000"/>
                <w:sz w:val="22"/>
                <w:szCs w:val="22"/>
              </w:rPr>
            </w:pPr>
            <w:r>
              <w:rPr>
                <w:rFonts w:hint="eastAsia" w:ascii="仿宋_GB2312" w:hAnsi="等线" w:eastAsia="仿宋_GB2312"/>
                <w:color w:val="000000"/>
                <w:sz w:val="22"/>
                <w:szCs w:val="22"/>
              </w:rPr>
              <w:t>贷款余额</w:t>
            </w:r>
          </w:p>
        </w:tc>
        <w:tc>
          <w:tcPr>
            <w:tcW w:w="1248" w:type="dxa"/>
            <w:tcBorders>
              <w:top w:val="nil"/>
              <w:left w:val="nil"/>
              <w:bottom w:val="single" w:color="auto" w:sz="4" w:space="0"/>
              <w:right w:val="single" w:color="auto" w:sz="4" w:space="0"/>
            </w:tcBorders>
            <w:vAlign w:val="center"/>
          </w:tcPr>
          <w:p>
            <w:pPr>
              <w:jc w:val="center"/>
              <w:rPr>
                <w:rFonts w:ascii="Times New Roman" w:hAnsi="Times New Roman" w:eastAsia="等线" w:cs="Times New Roman"/>
                <w:color w:val="000000"/>
                <w:sz w:val="22"/>
                <w:szCs w:val="22"/>
              </w:rPr>
            </w:pPr>
            <w:r>
              <w:rPr>
                <w:rFonts w:ascii="Times New Roman" w:hAnsi="Times New Roman" w:eastAsia="等线" w:cs="Times New Roman"/>
                <w:color w:val="000000"/>
                <w:sz w:val="22"/>
                <w:szCs w:val="22"/>
              </w:rPr>
              <w:t>1486.52</w:t>
            </w:r>
            <w:r>
              <w:rPr>
                <w:rFonts w:hint="eastAsia" w:ascii="仿宋_GB2312" w:hAnsi="Times New Roman" w:eastAsia="仿宋_GB2312" w:cs="Times New Roman"/>
                <w:color w:val="000000"/>
                <w:sz w:val="22"/>
                <w:szCs w:val="22"/>
              </w:rPr>
              <w:t>亿元</w:t>
            </w:r>
          </w:p>
        </w:tc>
        <w:tc>
          <w:tcPr>
            <w:tcW w:w="1006" w:type="dxa"/>
            <w:tcBorders>
              <w:top w:val="nil"/>
              <w:left w:val="nil"/>
              <w:bottom w:val="single" w:color="auto" w:sz="4" w:space="0"/>
              <w:right w:val="single" w:color="auto" w:sz="4" w:space="0"/>
            </w:tcBorders>
            <w:vAlign w:val="center"/>
          </w:tcPr>
          <w:p>
            <w:pPr>
              <w:jc w:val="center"/>
              <w:rPr>
                <w:rFonts w:ascii="Times New Roman" w:hAnsi="Times New Roman" w:eastAsia="等线" w:cs="Times New Roman"/>
                <w:color w:val="000000"/>
                <w:sz w:val="22"/>
                <w:szCs w:val="22"/>
              </w:rPr>
            </w:pPr>
            <w:r>
              <w:rPr>
                <w:rFonts w:ascii="Times New Roman" w:hAnsi="Times New Roman" w:eastAsia="等线" w:cs="Times New Roman"/>
                <w:color w:val="000000"/>
                <w:sz w:val="22"/>
                <w:szCs w:val="22"/>
              </w:rPr>
              <w:t>1</w:t>
            </w:r>
            <w:r>
              <w:rPr>
                <w:rFonts w:hint="eastAsia" w:ascii="Times New Roman" w:hAnsi="Times New Roman" w:eastAsia="等线" w:cs="Times New Roman"/>
                <w:color w:val="000000"/>
                <w:sz w:val="22"/>
                <w:szCs w:val="22"/>
              </w:rPr>
              <w:t>6</w:t>
            </w:r>
            <w:r>
              <w:rPr>
                <w:rFonts w:ascii="Times New Roman" w:hAnsi="Times New Roman" w:eastAsia="等线" w:cs="Times New Roman"/>
                <w:color w:val="000000"/>
                <w:sz w:val="22"/>
                <w:szCs w:val="22"/>
              </w:rPr>
              <w:t>00</w:t>
            </w:r>
            <w:r>
              <w:rPr>
                <w:rFonts w:hint="eastAsia" w:ascii="仿宋_GB2312" w:hAnsi="Times New Roman" w:eastAsia="仿宋_GB2312" w:cs="Times New Roman"/>
                <w:color w:val="000000"/>
                <w:sz w:val="22"/>
                <w:szCs w:val="22"/>
              </w:rPr>
              <w:t>亿元</w:t>
            </w:r>
          </w:p>
        </w:tc>
        <w:tc>
          <w:tcPr>
            <w:tcW w:w="1138" w:type="dxa"/>
            <w:vMerge w:val="continue"/>
            <w:tcBorders>
              <w:top w:val="nil"/>
              <w:left w:val="single" w:color="auto" w:sz="4" w:space="0"/>
              <w:bottom w:val="single" w:color="auto" w:sz="4" w:space="0"/>
              <w:right w:val="single" w:color="auto" w:sz="4" w:space="0"/>
            </w:tcBorders>
            <w:vAlign w:val="center"/>
          </w:tcPr>
          <w:p>
            <w:pPr>
              <w:rPr>
                <w:rFonts w:ascii="仿宋_GB2312" w:hAnsi="等线" w:eastAsia="仿宋_GB2312"/>
                <w:color w:val="000000"/>
                <w:sz w:val="22"/>
                <w:szCs w:val="22"/>
              </w:rPr>
            </w:pPr>
          </w:p>
        </w:tc>
      </w:tr>
      <w:tr>
        <w:tblPrEx>
          <w:tblLayout w:type="fixed"/>
          <w:tblCellMar>
            <w:top w:w="0" w:type="dxa"/>
            <w:left w:w="108" w:type="dxa"/>
            <w:bottom w:w="0" w:type="dxa"/>
            <w:right w:w="108" w:type="dxa"/>
          </w:tblCellMar>
        </w:tblPrEx>
        <w:trPr>
          <w:trHeight w:val="510" w:hRule="atLeast"/>
        </w:trPr>
        <w:tc>
          <w:tcPr>
            <w:tcW w:w="1116" w:type="dxa"/>
            <w:vMerge w:val="continue"/>
            <w:tcBorders>
              <w:top w:val="nil"/>
              <w:left w:val="single" w:color="auto" w:sz="4" w:space="0"/>
              <w:bottom w:val="single" w:color="auto" w:sz="4" w:space="0"/>
              <w:right w:val="single" w:color="auto" w:sz="4" w:space="0"/>
            </w:tcBorders>
            <w:vAlign w:val="center"/>
          </w:tcPr>
          <w:p>
            <w:pPr>
              <w:rPr>
                <w:rFonts w:ascii="仿宋_GB2312" w:hAnsi="等线" w:eastAsia="仿宋_GB2312"/>
                <w:b/>
                <w:bCs/>
                <w:color w:val="000000"/>
                <w:sz w:val="22"/>
                <w:szCs w:val="22"/>
              </w:rPr>
            </w:pPr>
          </w:p>
        </w:tc>
        <w:tc>
          <w:tcPr>
            <w:tcW w:w="3823" w:type="dxa"/>
            <w:tcBorders>
              <w:top w:val="nil"/>
              <w:left w:val="nil"/>
              <w:bottom w:val="single" w:color="auto" w:sz="4" w:space="0"/>
              <w:right w:val="single" w:color="auto" w:sz="4" w:space="0"/>
            </w:tcBorders>
            <w:vAlign w:val="center"/>
          </w:tcPr>
          <w:p>
            <w:pPr>
              <w:jc w:val="center"/>
              <w:rPr>
                <w:rFonts w:ascii="仿宋_GB2312" w:hAnsi="等线" w:eastAsia="仿宋_GB2312"/>
                <w:color w:val="000000"/>
                <w:sz w:val="22"/>
                <w:szCs w:val="22"/>
              </w:rPr>
            </w:pPr>
            <w:r>
              <w:rPr>
                <w:rFonts w:hint="eastAsia" w:ascii="仿宋_GB2312" w:hAnsi="等线" w:eastAsia="仿宋_GB2312"/>
                <w:color w:val="000000"/>
                <w:sz w:val="22"/>
                <w:szCs w:val="22"/>
              </w:rPr>
              <w:t>上市企业数量</w:t>
            </w:r>
          </w:p>
        </w:tc>
        <w:tc>
          <w:tcPr>
            <w:tcW w:w="1248" w:type="dxa"/>
            <w:tcBorders>
              <w:top w:val="nil"/>
              <w:left w:val="nil"/>
              <w:bottom w:val="single" w:color="auto" w:sz="4" w:space="0"/>
              <w:right w:val="single" w:color="auto" w:sz="4" w:space="0"/>
            </w:tcBorders>
            <w:vAlign w:val="center"/>
          </w:tcPr>
          <w:p>
            <w:pPr>
              <w:jc w:val="center"/>
              <w:rPr>
                <w:rFonts w:ascii="Times New Roman" w:hAnsi="Times New Roman" w:eastAsia="等线" w:cs="Times New Roman"/>
                <w:color w:val="000000"/>
                <w:sz w:val="22"/>
                <w:szCs w:val="22"/>
              </w:rPr>
            </w:pPr>
            <w:r>
              <w:rPr>
                <w:rFonts w:ascii="Times New Roman" w:hAnsi="Times New Roman" w:eastAsia="等线" w:cs="Times New Roman"/>
                <w:color w:val="000000"/>
                <w:sz w:val="22"/>
                <w:szCs w:val="22"/>
              </w:rPr>
              <w:t>11</w:t>
            </w:r>
            <w:r>
              <w:rPr>
                <w:rFonts w:hint="eastAsia" w:ascii="仿宋_GB2312" w:hAnsi="Times New Roman" w:eastAsia="仿宋_GB2312" w:cs="Times New Roman"/>
                <w:color w:val="000000"/>
                <w:sz w:val="22"/>
                <w:szCs w:val="22"/>
              </w:rPr>
              <w:t>家</w:t>
            </w:r>
          </w:p>
        </w:tc>
        <w:tc>
          <w:tcPr>
            <w:tcW w:w="1006" w:type="dxa"/>
            <w:tcBorders>
              <w:top w:val="nil"/>
              <w:left w:val="nil"/>
              <w:bottom w:val="single" w:color="auto" w:sz="4" w:space="0"/>
              <w:right w:val="single" w:color="auto" w:sz="4" w:space="0"/>
            </w:tcBorders>
            <w:vAlign w:val="center"/>
          </w:tcPr>
          <w:p>
            <w:pPr>
              <w:jc w:val="center"/>
              <w:rPr>
                <w:rFonts w:ascii="Times New Roman" w:hAnsi="Times New Roman" w:eastAsia="等线" w:cs="Times New Roman"/>
                <w:color w:val="000000"/>
                <w:sz w:val="22"/>
                <w:szCs w:val="22"/>
              </w:rPr>
            </w:pPr>
            <w:r>
              <w:rPr>
                <w:rFonts w:ascii="Times New Roman" w:hAnsi="Times New Roman" w:eastAsia="等线" w:cs="Times New Roman"/>
                <w:color w:val="000000"/>
                <w:sz w:val="22"/>
                <w:szCs w:val="22"/>
              </w:rPr>
              <w:t>20</w:t>
            </w:r>
            <w:r>
              <w:rPr>
                <w:rFonts w:hint="eastAsia" w:ascii="仿宋_GB2312" w:hAnsi="Times New Roman" w:eastAsia="仿宋_GB2312" w:cs="Times New Roman"/>
                <w:color w:val="000000"/>
                <w:sz w:val="22"/>
                <w:szCs w:val="22"/>
              </w:rPr>
              <w:t>家</w:t>
            </w:r>
          </w:p>
        </w:tc>
        <w:tc>
          <w:tcPr>
            <w:tcW w:w="1138" w:type="dxa"/>
            <w:vMerge w:val="continue"/>
            <w:tcBorders>
              <w:top w:val="nil"/>
              <w:left w:val="single" w:color="auto" w:sz="4" w:space="0"/>
              <w:bottom w:val="single" w:color="auto" w:sz="4" w:space="0"/>
              <w:right w:val="single" w:color="auto" w:sz="4" w:space="0"/>
            </w:tcBorders>
            <w:vAlign w:val="center"/>
          </w:tcPr>
          <w:p>
            <w:pPr>
              <w:rPr>
                <w:rFonts w:ascii="仿宋_GB2312" w:hAnsi="等线" w:eastAsia="仿宋_GB2312"/>
                <w:color w:val="000000"/>
                <w:sz w:val="22"/>
                <w:szCs w:val="22"/>
              </w:rPr>
            </w:pPr>
          </w:p>
        </w:tc>
      </w:tr>
      <w:bookmarkEnd w:id="4"/>
    </w:tbl>
    <w:p>
      <w:pPr>
        <w:pStyle w:val="4"/>
        <w:spacing w:before="0" w:after="0" w:line="560" w:lineRule="exact"/>
        <w:jc w:val="both"/>
        <w:rPr>
          <w:rFonts w:ascii="仿宋_GB2312" w:hAnsi="仿宋_GB2312" w:eastAsia="仿宋_GB2312" w:cs="仿宋_GB2312"/>
          <w:color w:val="000000"/>
          <w:sz w:val="32"/>
        </w:rPr>
      </w:pPr>
      <w:bookmarkStart w:id="86" w:name="_Toc22633"/>
      <w:bookmarkStart w:id="87" w:name="_Toc32478"/>
      <w:bookmarkStart w:id="88" w:name="_Toc59789962"/>
      <w:bookmarkStart w:id="89" w:name="_Toc57362176"/>
    </w:p>
    <w:p>
      <w:pPr>
        <w:rPr>
          <w:rFonts w:ascii="仿宋_GB2312" w:hAnsi="仿宋_GB2312" w:eastAsia="仿宋_GB2312" w:cs="仿宋_GB2312"/>
          <w:color w:val="000000"/>
          <w:sz w:val="32"/>
          <w:szCs w:val="32"/>
        </w:rPr>
      </w:pPr>
    </w:p>
    <w:p>
      <w:pPr>
        <w:pStyle w:val="25"/>
        <w:rPr>
          <w:rFonts w:ascii="仿宋_GB2312" w:hAnsi="仿宋_GB2312" w:cs="仿宋_GB2312"/>
          <w:szCs w:val="32"/>
        </w:rPr>
      </w:pPr>
    </w:p>
    <w:p>
      <w:pPr>
        <w:rPr>
          <w:rFonts w:ascii="仿宋_GB2312" w:hAnsi="仿宋_GB2312" w:eastAsia="仿宋_GB2312" w:cs="仿宋_GB2312"/>
          <w:color w:val="000000"/>
          <w:sz w:val="32"/>
          <w:szCs w:val="32"/>
        </w:rPr>
      </w:pPr>
    </w:p>
    <w:p>
      <w:pPr>
        <w:pStyle w:val="25"/>
        <w:rPr>
          <w:rFonts w:ascii="仿宋_GB2312" w:hAnsi="仿宋_GB2312" w:cs="仿宋_GB2312"/>
          <w:szCs w:val="32"/>
        </w:rPr>
      </w:pPr>
    </w:p>
    <w:p>
      <w:pPr>
        <w:rPr>
          <w:rFonts w:ascii="仿宋_GB2312" w:hAnsi="仿宋_GB2312" w:eastAsia="仿宋_GB2312" w:cs="仿宋_GB2312"/>
          <w:color w:val="000000"/>
          <w:sz w:val="32"/>
          <w:szCs w:val="32"/>
        </w:rPr>
      </w:pPr>
    </w:p>
    <w:p>
      <w:pPr>
        <w:pStyle w:val="25"/>
        <w:rPr>
          <w:rFonts w:ascii="仿宋_GB2312" w:hAnsi="仿宋_GB2312" w:cs="仿宋_GB2312"/>
          <w:szCs w:val="32"/>
        </w:rPr>
      </w:pPr>
    </w:p>
    <w:p>
      <w:pPr>
        <w:pStyle w:val="25"/>
      </w:pPr>
    </w:p>
    <w:p>
      <w:pPr>
        <w:pStyle w:val="3"/>
        <w:spacing w:before="0" w:after="489" w:afterLines="150" w:line="560" w:lineRule="exact"/>
        <w:jc w:val="center"/>
        <w:rPr>
          <w:color w:val="000000"/>
          <w:w w:val="95"/>
          <w:sz w:val="36"/>
          <w:szCs w:val="52"/>
        </w:rPr>
      </w:pPr>
      <w:r>
        <w:rPr>
          <w:rFonts w:hint="eastAsia"/>
          <w:color w:val="000000"/>
          <w:w w:val="95"/>
          <w:sz w:val="36"/>
          <w:szCs w:val="52"/>
        </w:rPr>
        <w:t>第四章 “十四五</w:t>
      </w:r>
      <w:r>
        <w:rPr>
          <w:color w:val="000000"/>
          <w:w w:val="95"/>
          <w:sz w:val="36"/>
          <w:szCs w:val="52"/>
        </w:rPr>
        <w:t>”</w:t>
      </w:r>
      <w:r>
        <w:rPr>
          <w:rFonts w:hint="eastAsia"/>
          <w:color w:val="000000"/>
          <w:w w:val="95"/>
          <w:sz w:val="36"/>
          <w:szCs w:val="52"/>
        </w:rPr>
        <w:t>时期大兴区金融业发展的主要任务</w:t>
      </w:r>
    </w:p>
    <w:p>
      <w:pPr>
        <w:pStyle w:val="4"/>
        <w:spacing w:before="0" w:after="0" w:line="560" w:lineRule="exact"/>
        <w:ind w:left="602"/>
        <w:jc w:val="both"/>
        <w:rPr>
          <w:rFonts w:ascii="黑体" w:hAnsi="黑体"/>
          <w:b w:val="0"/>
          <w:bCs w:val="0"/>
          <w:color w:val="000000"/>
          <w:sz w:val="32"/>
        </w:rPr>
      </w:pPr>
      <w:r>
        <w:rPr>
          <w:rFonts w:hint="eastAsia" w:ascii="黑体" w:hAnsi="黑体"/>
          <w:b w:val="0"/>
          <w:bCs w:val="0"/>
          <w:color w:val="000000"/>
          <w:sz w:val="32"/>
        </w:rPr>
        <w:t>一、金融赋能“两区”建设</w:t>
      </w:r>
    </w:p>
    <w:p>
      <w:pPr>
        <w:pStyle w:val="5"/>
        <w:spacing w:before="0" w:after="0" w:line="560" w:lineRule="exact"/>
        <w:ind w:left="420"/>
        <w:jc w:val="both"/>
        <w:rPr>
          <w:rFonts w:ascii="楷体_GB2312" w:hAnsi="楷体_GB2312" w:eastAsia="楷体_GB2312" w:cs="楷体_GB2312"/>
          <w:b w:val="0"/>
          <w:bCs w:val="0"/>
          <w:color w:val="000000"/>
          <w:sz w:val="32"/>
        </w:rPr>
      </w:pPr>
      <w:r>
        <w:rPr>
          <w:rFonts w:hint="eastAsia" w:ascii="楷体_GB2312" w:hAnsi="楷体_GB2312" w:eastAsia="楷体_GB2312" w:cs="楷体_GB2312"/>
          <w:b w:val="0"/>
          <w:bCs w:val="0"/>
          <w:color w:val="000000"/>
          <w:sz w:val="32"/>
        </w:rPr>
        <w:t>（一）促进金融产业发展</w:t>
      </w:r>
    </w:p>
    <w:p>
      <w:pPr>
        <w:widowControl w:val="0"/>
        <w:spacing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发挥政策集聚作用，加大金融机构引入力度，吸引国内外金融机构入驻，丰富区域金融业态。进一步加强与金融监管部门在金融基础设施建设等方面的合作与协同，及时用好金融开放、创新政策，推动相关政策在大兴区落地。与市级金融监管部门、金融机构、投资机构、相关企业深化合作。创新和丰富金融招商的渠道和形式，鼓励金融机构通过以商招商等方式进一步做好招商引资工作。</w:t>
      </w:r>
    </w:p>
    <w:p>
      <w:pPr>
        <w:pStyle w:val="5"/>
        <w:spacing w:before="0" w:after="0" w:line="560" w:lineRule="exact"/>
        <w:ind w:left="420"/>
        <w:jc w:val="both"/>
        <w:rPr>
          <w:rFonts w:ascii="楷体_GB2312" w:hAnsi="楷体_GB2312" w:eastAsia="楷体_GB2312" w:cs="楷体_GB2312"/>
          <w:b w:val="0"/>
          <w:bCs w:val="0"/>
          <w:color w:val="000000"/>
          <w:sz w:val="32"/>
        </w:rPr>
      </w:pPr>
      <w:r>
        <w:rPr>
          <w:rFonts w:hint="eastAsia" w:ascii="楷体_GB2312" w:hAnsi="楷体_GB2312" w:eastAsia="楷体_GB2312" w:cs="楷体_GB2312"/>
          <w:b w:val="0"/>
          <w:bCs w:val="0"/>
          <w:color w:val="000000"/>
          <w:sz w:val="32"/>
        </w:rPr>
        <w:t>（二）推动金融聚集区建设</w:t>
      </w:r>
    </w:p>
    <w:p>
      <w:pPr>
        <w:widowControl w:val="0"/>
        <w:spacing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推动金融聚集区建设，利用</w:t>
      </w:r>
      <w:r>
        <w:rPr>
          <w:rFonts w:hint="eastAsia" w:ascii="仿宋_GB2312" w:hAnsi="仿宋_GB2312" w:eastAsia="仿宋_GB2312" w:cs="仿宋_GB2312"/>
          <w:sz w:val="32"/>
          <w:szCs w:val="32"/>
        </w:rPr>
        <w:t>自贸区创新服务中心、北京中日创新合作示范区等空间载体，吸引国内外金融机构集聚。</w:t>
      </w:r>
      <w:r>
        <w:rPr>
          <w:rFonts w:hint="eastAsia" w:ascii="仿宋_GB2312" w:hAnsi="仿宋_GB2312" w:eastAsia="仿宋_GB2312" w:cs="仿宋_GB2312"/>
          <w:color w:val="000000"/>
          <w:sz w:val="32"/>
          <w:szCs w:val="32"/>
        </w:rPr>
        <w:t>集聚银行、券商、保险、资管、融资租赁、跨国企业财务公司等机构落户，发展航空金融、离岸金融、供应链金融等相关业务，为临空经济区进行高水平金融赋能，推动跨境金融服务中心建设，增强服务空港枢纽发展的国际金融业务能力。有效利用“两区”的政策优势，在与传统金融优势区域进行错位竞争前提下，重点发展大数据、金融科技、保险、财富管理等金融业务，鼓励金融机构差异化发展，提供差异化金融服务，在全方位满足驻区企业金融需求的同时，增强大兴金融业的对外辐射与服务能力，为大兴经济提供新的增长点。</w:t>
      </w:r>
    </w:p>
    <w:p>
      <w:pPr>
        <w:pStyle w:val="5"/>
        <w:spacing w:before="0" w:after="0" w:line="560" w:lineRule="exact"/>
        <w:ind w:left="420"/>
        <w:jc w:val="both"/>
        <w:rPr>
          <w:rFonts w:ascii="楷体_GB2312" w:hAnsi="楷体_GB2312" w:eastAsia="楷体_GB2312" w:cs="楷体_GB2312"/>
          <w:b w:val="0"/>
          <w:bCs w:val="0"/>
          <w:color w:val="000000"/>
          <w:sz w:val="32"/>
        </w:rPr>
      </w:pPr>
      <w:r>
        <w:rPr>
          <w:rFonts w:hint="eastAsia" w:ascii="楷体_GB2312" w:hAnsi="楷体_GB2312" w:eastAsia="楷体_GB2312" w:cs="楷体_GB2312"/>
          <w:b w:val="0"/>
          <w:bCs w:val="0"/>
          <w:color w:val="000000"/>
          <w:sz w:val="32"/>
        </w:rPr>
        <w:t>（三）金融支持“两区”建设</w:t>
      </w:r>
    </w:p>
    <w:p>
      <w:pPr>
        <w:widowControl w:val="0"/>
        <w:spacing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按照市级改革创新部署，提升跨境贸易投融资便利化水平，探索建立本外币一体化账户体系，开展资本项目收入支付便利化试点，扩展自由贸易账户功能，探索外汇管理转型升级。鼓励民营企业和跨国公司利用空港条件设立财务中心、结算中心。鼓励金融机构在自贸区设立跨境结算等功能性总部，为企业提供结算和现金管理、贸易融资、跨境投融资、外汇避险等金融服务。</w:t>
      </w:r>
    </w:p>
    <w:p>
      <w:pPr>
        <w:widowControl w:val="0"/>
        <w:spacing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促进金融领域“证照分离”改革试点相关政策落地，建立针对境外金融机构审批、备案快捷通道，在跨境金融市场准入、跨境业务管理等方面提供支持。支持跨国公司依法合规设立外商独资财务公司。吸引有影响力的外资金融机构入驻，鼓励外资金融机构设立子公司、功能总部、后台服务与服务外包机构。促进外资和中外合资健康保险机构落地，培育形成特色金融产业优势。鼓励国内金融机构引入外资参股控股，利用外资金融机构在公司治理、信贷管理、风险定价、金融产品和服务创新等方面的优势，提高本土金融机构的服务能力和开放程度。不断优化金融营商环境，加强对国际金融专业人才和外籍金融专业人才的生活服务保障，提升金融服务国际化水平。</w:t>
      </w:r>
    </w:p>
    <w:p>
      <w:pPr>
        <w:widowControl w:val="0"/>
        <w:spacing w:line="560" w:lineRule="exact"/>
        <w:ind w:firstLine="640" w:firstLineChars="200"/>
        <w:jc w:val="both"/>
        <w:rPr>
          <w:rFonts w:ascii="仿宋_GB2312" w:hAnsi="仿宋_GB2312" w:cs="仿宋_GB2312"/>
          <w:szCs w:val="32"/>
        </w:rPr>
      </w:pPr>
      <w:r>
        <w:rPr>
          <w:rFonts w:hint="eastAsia" w:ascii="仿宋_GB2312" w:hAnsi="仿宋_GB2312" w:eastAsia="仿宋_GB2312" w:cs="仿宋_GB2312"/>
          <w:color w:val="000000"/>
          <w:sz w:val="32"/>
          <w:szCs w:val="32"/>
        </w:rPr>
        <w:t>做好数字经济与“两区”建设的宣传推广工作，积极推动金融科技企业、技术公司与金融机构间的合作，促进数字货币、数字贸易、数据交易等新的数字经济领域应用场景在大兴落地。结合大数据、区块链等技术，推动大兴建设数字贸易创新试验区，鼓励金融机构积极探索、发展供应链金融、大数据金融，助力数字贸易发展。</w:t>
      </w:r>
    </w:p>
    <w:p>
      <w:pPr>
        <w:pStyle w:val="5"/>
        <w:spacing w:before="0" w:after="0" w:line="560" w:lineRule="exact"/>
        <w:ind w:left="420"/>
        <w:jc w:val="both"/>
        <w:rPr>
          <w:rFonts w:ascii="楷体_GB2312" w:hAnsi="楷体_GB2312" w:eastAsia="楷体_GB2312" w:cs="楷体_GB2312"/>
          <w:b w:val="0"/>
          <w:bCs w:val="0"/>
          <w:color w:val="000000"/>
          <w:sz w:val="32"/>
        </w:rPr>
      </w:pPr>
      <w:r>
        <w:rPr>
          <w:rFonts w:hint="eastAsia" w:ascii="楷体_GB2312" w:hAnsi="楷体_GB2312" w:eastAsia="楷体_GB2312" w:cs="楷体_GB2312"/>
          <w:b w:val="0"/>
          <w:bCs w:val="0"/>
          <w:color w:val="000000"/>
          <w:sz w:val="32"/>
        </w:rPr>
        <w:t>（四）发展航空金融</w:t>
      </w:r>
    </w:p>
    <w:p>
      <w:pPr>
        <w:spacing w:line="560" w:lineRule="exact"/>
        <w:ind w:firstLine="640" w:firstLineChars="200"/>
        <w:jc w:val="both"/>
        <w:rPr>
          <w:b/>
          <w:bCs/>
        </w:rPr>
      </w:pPr>
      <w:r>
        <w:rPr>
          <w:rFonts w:hint="eastAsia" w:ascii="仿宋_GB2312" w:hAnsi="仿宋_GB2312" w:eastAsia="仿宋_GB2312" w:cs="仿宋_GB2312"/>
          <w:color w:val="000000"/>
          <w:sz w:val="32"/>
          <w:szCs w:val="32"/>
        </w:rPr>
        <w:t>发挥大兴国际机场的区位优势，发展航空金融。吸引航空金融总部集聚，探索搭建航材、航油等航空要素交易平台，推动培育航空租赁、融资租赁、航空产业基金、租赁资产证券化、金融衍生品交易、航空运输保险、航运交易结算等航空金融特色业态，发展物流金融、贸易金融、供应链金融等航空金融延伸业态。</w:t>
      </w:r>
    </w:p>
    <w:p>
      <w:pPr>
        <w:pStyle w:val="4"/>
        <w:spacing w:before="0" w:after="0" w:line="560" w:lineRule="exact"/>
        <w:ind w:left="602"/>
        <w:jc w:val="both"/>
        <w:rPr>
          <w:rFonts w:ascii="黑体" w:hAnsi="黑体"/>
          <w:b w:val="0"/>
          <w:bCs w:val="0"/>
          <w:color w:val="000000"/>
          <w:sz w:val="32"/>
        </w:rPr>
      </w:pPr>
      <w:r>
        <w:rPr>
          <w:rFonts w:hint="eastAsia" w:ascii="黑体" w:hAnsi="黑体"/>
          <w:b w:val="0"/>
          <w:bCs w:val="0"/>
          <w:color w:val="000000"/>
          <w:sz w:val="32"/>
        </w:rPr>
        <w:t>二、</w:t>
      </w:r>
      <w:r>
        <w:rPr>
          <w:rFonts w:ascii="黑体" w:hAnsi="黑体"/>
          <w:b w:val="0"/>
          <w:bCs w:val="0"/>
          <w:color w:val="000000"/>
          <w:sz w:val="32"/>
        </w:rPr>
        <w:t>金融支持实体经济</w:t>
      </w:r>
      <w:bookmarkEnd w:id="86"/>
      <w:bookmarkEnd w:id="87"/>
      <w:bookmarkEnd w:id="88"/>
    </w:p>
    <w:p>
      <w:pPr>
        <w:pStyle w:val="5"/>
        <w:numPr>
          <w:ilvl w:val="0"/>
          <w:numId w:val="1"/>
        </w:numPr>
        <w:spacing w:before="0" w:after="0" w:line="560" w:lineRule="exact"/>
        <w:jc w:val="both"/>
        <w:rPr>
          <w:rFonts w:ascii="楷体_GB2312" w:hAnsi="楷体_GB2312" w:eastAsia="楷体_GB2312" w:cs="楷体_GB2312"/>
          <w:b w:val="0"/>
          <w:bCs w:val="0"/>
          <w:color w:val="000000"/>
          <w:sz w:val="32"/>
        </w:rPr>
      </w:pPr>
      <w:bookmarkStart w:id="90" w:name="_Toc22881"/>
      <w:bookmarkStart w:id="91" w:name="_Toc59789964"/>
      <w:bookmarkStart w:id="92" w:name="_Toc24894"/>
      <w:r>
        <w:rPr>
          <w:rFonts w:hint="eastAsia" w:ascii="楷体_GB2312" w:hAnsi="楷体_GB2312" w:eastAsia="楷体_GB2312" w:cs="楷体_GB2312"/>
          <w:b w:val="0"/>
          <w:bCs w:val="0"/>
          <w:color w:val="000000"/>
          <w:sz w:val="32"/>
        </w:rPr>
        <w:t>推进企业上市发展</w:t>
      </w:r>
      <w:bookmarkEnd w:id="90"/>
      <w:bookmarkEnd w:id="91"/>
      <w:bookmarkEnd w:id="92"/>
    </w:p>
    <w:p>
      <w:pPr>
        <w:spacing w:line="560" w:lineRule="exact"/>
        <w:ind w:firstLine="640" w:firstLineChars="200"/>
        <w:jc w:val="both"/>
        <w:rPr>
          <w:rFonts w:ascii="仿宋_GB2312" w:hAnsi="仿宋_GB2312" w:eastAsia="仿宋_GB2312" w:cs="仿宋_GB2312"/>
          <w:color w:val="000000"/>
          <w:sz w:val="32"/>
        </w:rPr>
      </w:pPr>
      <w:bookmarkStart w:id="93" w:name="_Toc4265"/>
      <w:bookmarkStart w:id="94" w:name="_Toc18159"/>
      <w:bookmarkStart w:id="95" w:name="_Toc59789965"/>
      <w:r>
        <w:rPr>
          <w:rFonts w:hint="eastAsia" w:ascii="仿宋_GB2312" w:hAnsi="仿宋_GB2312" w:eastAsia="仿宋_GB2312" w:cs="仿宋_GB2312"/>
          <w:color w:val="000000"/>
          <w:sz w:val="32"/>
          <w:szCs w:val="32"/>
        </w:rPr>
        <w:t>发挥政策导向作用，加大企业上市服务工作力度。推动企业在境内外上市挂牌，推动更多“专精特新”中小企业到新三板挂牌、到北京证券交易所上市，支持企业充分利用资本市场力量做优做强。强化企业上市（挂牌）培育辅导，系统梳理不同板块后备企业资源，建立精准、动态、分层的企业上市（挂牌）后备资源库，明晰入库标准。用好企业上市绿色通道，通过梯队管理、分类指导、重点培育等方式，有序推动符合条件的企业在资本市场上市融资。为上市企业提供综合金融服务，引导上市企业合理利用资本市场各类金融工具理性融资，鼓励上市企业充分利用资本市场进行兼并重组，盘活存量、提质增效、转型发展。</w:t>
      </w:r>
    </w:p>
    <w:p>
      <w:pPr>
        <w:pStyle w:val="5"/>
        <w:spacing w:before="0" w:after="0" w:line="560" w:lineRule="exact"/>
        <w:ind w:left="420"/>
        <w:jc w:val="both"/>
        <w:rPr>
          <w:rFonts w:ascii="楷体_GB2312" w:hAnsi="楷体_GB2312" w:eastAsia="楷体_GB2312" w:cs="楷体_GB2312"/>
          <w:b w:val="0"/>
          <w:bCs w:val="0"/>
          <w:color w:val="000000"/>
          <w:sz w:val="32"/>
        </w:rPr>
      </w:pPr>
      <w:r>
        <w:rPr>
          <w:rFonts w:hint="eastAsia" w:ascii="楷体_GB2312" w:hAnsi="楷体_GB2312" w:eastAsia="楷体_GB2312" w:cs="楷体_GB2312"/>
          <w:b w:val="0"/>
          <w:bCs w:val="0"/>
          <w:color w:val="000000"/>
          <w:sz w:val="32"/>
        </w:rPr>
        <w:t>（二）金融支持重点产业发展</w:t>
      </w:r>
      <w:bookmarkEnd w:id="93"/>
      <w:bookmarkEnd w:id="94"/>
      <w:bookmarkEnd w:id="95"/>
    </w:p>
    <w:p>
      <w:pPr>
        <w:widowControl w:val="0"/>
        <w:spacing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针对大兴区重点发展的产业，加大金融支持力度，针对不同发展阶段的企业，分类指导，制定相应的金融引导政策，实现“科技—产业—金融”的高水平循环。</w:t>
      </w:r>
    </w:p>
    <w:p>
      <w:pPr>
        <w:widowControl w:val="0"/>
        <w:spacing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对原始创新阶段企业，鼓励园区增设创投孵化器。统筹金融要素与产业链、产学研合作等非金融要素的结合，完善对于高端人才的配套政策，鼓励创投基金、种子基金、天使基金积极参与。</w:t>
      </w:r>
    </w:p>
    <w:p>
      <w:pPr>
        <w:widowControl w:val="0"/>
        <w:spacing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对技术转换创新阶段企业，创新金融产品，缓解高科技初创企业轻资产、缺乏抵押品的融资困境。将银行业“信贷投放”与创投机构“股权投资”相结合，通过投贷、投保贷、跟贷等多元组合，量身定制，为科技型中小企业提供低成本、定制化融资服务。依托产业集聚，发展供应链金融。发挥产业链核心企业的引领作用，推动供应链金融为产业链、供应链上下游的中小微企业提供金融支持，助力产业整体发展。 </w:t>
      </w:r>
    </w:p>
    <w:p>
      <w:pPr>
        <w:widowControl w:val="0"/>
        <w:spacing w:line="560" w:lineRule="exact"/>
        <w:ind w:firstLine="640" w:firstLineChars="200"/>
        <w:jc w:val="both"/>
        <w:rPr>
          <w:rFonts w:ascii="仿宋" w:hAnsi="仿宋" w:eastAsia="仿宋"/>
          <w:color w:val="000000"/>
          <w:sz w:val="32"/>
          <w:szCs w:val="32"/>
        </w:rPr>
      </w:pPr>
      <w:r>
        <w:rPr>
          <w:rFonts w:hint="eastAsia" w:ascii="仿宋_GB2312" w:hAnsi="仿宋_GB2312" w:eastAsia="仿宋_GB2312" w:cs="仿宋_GB2312"/>
          <w:color w:val="000000"/>
          <w:sz w:val="32"/>
          <w:szCs w:val="32"/>
        </w:rPr>
        <w:t>对规模量产阶段企业，调动股权投资机构、产业基金、银行等金融机构充分参与，优化金融服务体系结构。发挥国有投资平台的引领作用，利用本地企业与机构的信息优势，加大对区内产业投资，引导国际国内多方资金投向大兴区重点产业；鼓励龙头企业、知名投资机构与政府引导基金共同设立专项产业基金，发挥财政资金的杠杆效应，完善“母子基金</w:t>
      </w:r>
      <w:r>
        <w:rPr>
          <w:rFonts w:ascii="仿宋_GB2312" w:hAnsi="仿宋_GB2312" w:eastAsia="仿宋_GB2312" w:cs="仿宋_GB2312"/>
          <w:color w:val="000000"/>
          <w:sz w:val="32"/>
          <w:szCs w:val="32"/>
        </w:rPr>
        <w:t>+直投基金”为核心的产业基金体系</w:t>
      </w:r>
      <w:r>
        <w:rPr>
          <w:rFonts w:hint="eastAsia" w:ascii="仿宋_GB2312" w:hAnsi="仿宋_GB2312" w:eastAsia="仿宋_GB2312" w:cs="仿宋_GB2312"/>
          <w:color w:val="000000"/>
          <w:sz w:val="32"/>
          <w:szCs w:val="32"/>
        </w:rPr>
        <w:t>，开展全产业链、多阶段投资，推动企业上市、并购，促进产融结合，形成具有国际竞争力的产业集群。</w:t>
      </w:r>
    </w:p>
    <w:p>
      <w:pPr>
        <w:pStyle w:val="5"/>
        <w:spacing w:before="0" w:after="0" w:line="560" w:lineRule="exact"/>
        <w:ind w:left="420"/>
        <w:jc w:val="both"/>
        <w:rPr>
          <w:rFonts w:ascii="楷体_GB2312" w:hAnsi="楷体_GB2312" w:eastAsia="楷体_GB2312" w:cs="楷体_GB2312"/>
          <w:b w:val="0"/>
          <w:bCs w:val="0"/>
          <w:color w:val="000000"/>
          <w:sz w:val="32"/>
        </w:rPr>
      </w:pPr>
      <w:bookmarkStart w:id="96" w:name="_Toc14775"/>
      <w:bookmarkStart w:id="97" w:name="_Toc18851"/>
      <w:bookmarkStart w:id="98" w:name="_Toc59789967"/>
      <w:r>
        <w:rPr>
          <w:rFonts w:hint="eastAsia" w:ascii="楷体_GB2312" w:hAnsi="楷体_GB2312" w:eastAsia="楷体_GB2312" w:cs="楷体_GB2312"/>
          <w:b w:val="0"/>
          <w:bCs w:val="0"/>
          <w:color w:val="000000"/>
          <w:sz w:val="32"/>
        </w:rPr>
        <w:t>（三）大力推进普惠金融</w:t>
      </w:r>
      <w:bookmarkEnd w:id="96"/>
      <w:bookmarkEnd w:id="97"/>
      <w:bookmarkEnd w:id="98"/>
    </w:p>
    <w:p>
      <w:pPr>
        <w:widowControl w:val="0"/>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强化大数据基础支撑。提升金融底层基础设施水平，依托中小微企业大数据服务与征信平台，结合大数据技术，进一步完善线上融资对接平台功能，运用市场化机制对接金融需求和供给，提高银企对接效率。</w:t>
      </w:r>
    </w:p>
    <w:p>
      <w:pPr>
        <w:widowControl w:val="0"/>
        <w:spacing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提升金融服务企业的精准性。组建金融专业服务团队，线上线下联动，为企业合理运用金融工具、优化融资结构、防范金融风险提供咨询服务。引导金融专家主动对接企业融资需求，“一企一策”帮助企业制定投融资规划和融资方案。</w:t>
      </w:r>
    </w:p>
    <w:p>
      <w:pPr>
        <w:widowControl w:val="0"/>
        <w:spacing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优化金融布局，完善金融生态，提升金融素养。充分发挥驻区金融机构的积极作用，促进金融聚集，支持金融机构优化网点设置，结合银行数字化转型背景，深化金融科技应用，提升金融服务的便利性，提高金融服务的覆盖度和满意度。积极提升居民和企业金融素养，搭建优质金融产品的信息发布平台。</w:t>
      </w:r>
    </w:p>
    <w:p>
      <w:pPr>
        <w:pStyle w:val="5"/>
        <w:spacing w:before="0" w:after="0" w:line="560" w:lineRule="exact"/>
        <w:ind w:left="420"/>
        <w:jc w:val="both"/>
        <w:rPr>
          <w:rFonts w:ascii="楷体_GB2312" w:hAnsi="楷体_GB2312" w:eastAsia="楷体_GB2312" w:cs="楷体_GB2312"/>
          <w:b w:val="0"/>
          <w:bCs w:val="0"/>
          <w:color w:val="000000"/>
          <w:sz w:val="32"/>
        </w:rPr>
      </w:pPr>
      <w:r>
        <w:rPr>
          <w:rFonts w:hint="eastAsia" w:ascii="楷体_GB2312" w:hAnsi="楷体_GB2312" w:eastAsia="楷体_GB2312" w:cs="楷体_GB2312"/>
          <w:b w:val="0"/>
          <w:bCs w:val="0"/>
          <w:color w:val="000000"/>
          <w:sz w:val="32"/>
        </w:rPr>
        <w:t>（四）金融支持乡村振兴</w:t>
      </w:r>
    </w:p>
    <w:p>
      <w:pPr>
        <w:widowControl w:val="0"/>
        <w:spacing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进一步深化农村金融改革，打通集体经营性建设用地拆除腾退、土地整治、建设、运营通道，实现全流程金融服务。推进农村集体土地使用权抵押、担保融资提质、扩面、增效。</w:t>
      </w:r>
    </w:p>
    <w:p>
      <w:pPr>
        <w:widowControl w:val="0"/>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不断完善农村金融服务体系，紧紧围绕乡村振兴战略各项重点工作，推动金融服务转向更高质量的发展阶段。</w:t>
      </w:r>
      <w:r>
        <w:rPr>
          <w:rFonts w:hint="eastAsia" w:ascii="仿宋_GB2312" w:hAnsi="仿宋_GB2312" w:eastAsia="仿宋_GB2312" w:cs="仿宋_GB2312"/>
          <w:color w:val="000000"/>
          <w:sz w:val="32"/>
          <w:szCs w:val="32"/>
        </w:rPr>
        <w:t>推动城市商业银行和农村商业银行建立农业农村金融服务专门机制，提供特色化、差异化服务。创新金融支农产品和服务。巩固农村金融保险等改革试点成果，探索拓展涉农有效抵押物范围，推动家庭农场及专业大户贷款、农民专业合作社贷款、农业产业链贷款等新型融资模式，</w:t>
      </w:r>
      <w:r>
        <w:rPr>
          <w:rFonts w:hint="eastAsia" w:ascii="仿宋_GB2312" w:hAnsi="仿宋_GB2312" w:eastAsia="仿宋_GB2312" w:cs="仿宋_GB2312"/>
          <w:sz w:val="32"/>
          <w:szCs w:val="32"/>
        </w:rPr>
        <w:t>推动新型经营主体发展。探索基于宅基地所有权、资格权、使用权分置的融资模式，实现宅基地的金融属性，盘活农村土地资源资产，为实施乡村振兴战略提供坚实支撑。</w:t>
      </w:r>
    </w:p>
    <w:p>
      <w:pPr>
        <w:widowControl w:val="0"/>
        <w:spacing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积极发展农业保险，</w:t>
      </w:r>
      <w:r>
        <w:rPr>
          <w:rFonts w:hint="eastAsia" w:ascii="仿宋_GB2312" w:hAnsi="仿宋_GB2312" w:eastAsia="仿宋_GB2312" w:cs="仿宋_GB2312"/>
          <w:color w:val="000000"/>
          <w:sz w:val="32"/>
          <w:szCs w:val="32"/>
        </w:rPr>
        <w:t>在现有涉农保险险种的基础上，创新满足新型农业经营主体需求的个性化农业保险产品，扩大政策性农业保险保障范围，建立保险公司创新涉农保险激励机制，优化农业农村保险服务。</w:t>
      </w:r>
    </w:p>
    <w:p>
      <w:pPr>
        <w:pStyle w:val="5"/>
        <w:spacing w:before="0" w:after="0" w:line="560" w:lineRule="exact"/>
        <w:ind w:left="420"/>
        <w:jc w:val="both"/>
        <w:rPr>
          <w:rFonts w:ascii="楷体_GB2312" w:hAnsi="楷体_GB2312" w:eastAsia="楷体_GB2312" w:cs="楷体_GB2312"/>
          <w:b w:val="0"/>
          <w:bCs w:val="0"/>
          <w:color w:val="000000"/>
          <w:sz w:val="32"/>
        </w:rPr>
      </w:pPr>
      <w:bookmarkStart w:id="99" w:name="_Toc21522"/>
      <w:bookmarkStart w:id="100" w:name="_Toc59789968"/>
      <w:bookmarkStart w:id="101" w:name="_Toc1224"/>
      <w:r>
        <w:rPr>
          <w:rFonts w:hint="eastAsia" w:ascii="楷体_GB2312" w:hAnsi="楷体_GB2312" w:eastAsia="楷体_GB2312" w:cs="楷体_GB2312"/>
          <w:b w:val="0"/>
          <w:bCs w:val="0"/>
          <w:color w:val="000000"/>
          <w:sz w:val="32"/>
        </w:rPr>
        <w:t>（五）鼓励发展绿色金融</w:t>
      </w:r>
      <w:bookmarkEnd w:id="99"/>
      <w:bookmarkEnd w:id="100"/>
      <w:bookmarkEnd w:id="101"/>
    </w:p>
    <w:p>
      <w:pPr>
        <w:widowControl w:val="0"/>
        <w:spacing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争取绿色金融改革领域的试点政策支持，借鉴和引进先行先试示范区的有益经验。围绕实现“碳达峰、碳中和”目标愿景，依托大兴国际氢能示范区，推动建立氢能产业基金，助力绿色发展。鼓励通过多种合作模式创新，推动金融机构的绿色金融产品创新。探索运用绿色信贷、绿色债券、绿色股票指数和相关产品、绿色发展基金、绿色保险、碳金融等金融工具，服务生态文明建设和绿色发展。</w:t>
      </w:r>
      <w:bookmarkEnd w:id="89"/>
      <w:bookmarkStart w:id="102" w:name="_Toc57057614"/>
    </w:p>
    <w:p>
      <w:pPr>
        <w:pStyle w:val="5"/>
        <w:spacing w:before="0" w:after="0" w:line="560" w:lineRule="exact"/>
        <w:ind w:left="420"/>
        <w:jc w:val="both"/>
        <w:rPr>
          <w:rFonts w:ascii="楷体_GB2312" w:hAnsi="楷体_GB2312" w:eastAsia="楷体_GB2312" w:cs="楷体_GB2312"/>
          <w:b w:val="0"/>
          <w:bCs w:val="0"/>
          <w:color w:val="000000"/>
          <w:sz w:val="32"/>
        </w:rPr>
      </w:pPr>
      <w:r>
        <w:rPr>
          <w:rFonts w:hint="eastAsia" w:ascii="楷体_GB2312" w:hAnsi="楷体_GB2312" w:eastAsia="楷体_GB2312" w:cs="楷体_GB2312"/>
          <w:b w:val="0"/>
          <w:bCs w:val="0"/>
          <w:color w:val="000000"/>
          <w:sz w:val="32"/>
        </w:rPr>
        <w:t>（六）金融支持基础设施建设</w:t>
      </w:r>
    </w:p>
    <w:p>
      <w:pPr>
        <w:widowControl w:val="0"/>
        <w:spacing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创新金融产品与工具，为大兴生物医药产业基地扩区、北京中日创新合作示范区、大兴国际氢能示范区等区域重大项目提供金融支持。</w:t>
      </w:r>
    </w:p>
    <w:p>
      <w:pPr>
        <w:widowControl w:val="0"/>
        <w:spacing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积极盘活存量国有资产。充分发挥市场力量，广泛吸引社会资本投资，探索通过CMBS和REITs等形式的资产证券化，盘活政府存量资产，提高资产运营效率；鼓励保险资金参与有稳定收益的城市基础设施建设，拓宽融资渠道；支持融资平台市场化运营，厘清业务界限，推动平台公司上市或控股上市公司。</w:t>
      </w:r>
    </w:p>
    <w:p>
      <w:pPr>
        <w:widowControl w:val="0"/>
        <w:spacing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适时合理利用货币政策，推进债务置换，降低融资成本，优化融资结构，延长债务周期，为大兴区重大项目和基础设施建设提供金融支持，防范化解政府债务风险。</w:t>
      </w:r>
    </w:p>
    <w:p>
      <w:pPr>
        <w:pStyle w:val="4"/>
        <w:spacing w:before="0" w:after="0" w:line="560" w:lineRule="exact"/>
        <w:ind w:left="602"/>
        <w:jc w:val="both"/>
        <w:rPr>
          <w:rFonts w:ascii="黑体" w:hAnsi="黑体"/>
          <w:b w:val="0"/>
          <w:bCs w:val="0"/>
          <w:color w:val="000000"/>
          <w:sz w:val="32"/>
        </w:rPr>
      </w:pPr>
      <w:bookmarkStart w:id="103" w:name="_Toc59789969"/>
      <w:bookmarkStart w:id="104" w:name="_Toc3019"/>
      <w:r>
        <w:rPr>
          <w:rFonts w:hint="eastAsia" w:ascii="黑体" w:hAnsi="黑体"/>
          <w:b w:val="0"/>
          <w:bCs w:val="0"/>
          <w:color w:val="000000"/>
          <w:sz w:val="32"/>
        </w:rPr>
        <w:t>三</w:t>
      </w:r>
      <w:r>
        <w:rPr>
          <w:rFonts w:ascii="黑体" w:hAnsi="黑体"/>
          <w:b w:val="0"/>
          <w:bCs w:val="0"/>
          <w:color w:val="000000"/>
          <w:sz w:val="32"/>
        </w:rPr>
        <w:t>、</w:t>
      </w:r>
      <w:r>
        <w:rPr>
          <w:rFonts w:hint="eastAsia" w:ascii="黑体" w:hAnsi="黑体"/>
          <w:b w:val="0"/>
          <w:bCs w:val="0"/>
          <w:color w:val="000000"/>
          <w:sz w:val="32"/>
        </w:rPr>
        <w:t>推进</w:t>
      </w:r>
      <w:r>
        <w:rPr>
          <w:rFonts w:ascii="黑体" w:hAnsi="黑体"/>
          <w:b w:val="0"/>
          <w:bCs w:val="0"/>
          <w:color w:val="000000"/>
          <w:sz w:val="32"/>
        </w:rPr>
        <w:t>金融科技</w:t>
      </w:r>
      <w:r>
        <w:rPr>
          <w:rFonts w:hint="eastAsia" w:ascii="黑体" w:hAnsi="黑体"/>
          <w:b w:val="0"/>
          <w:bCs w:val="0"/>
          <w:color w:val="000000"/>
          <w:sz w:val="32"/>
        </w:rPr>
        <w:t>加快</w:t>
      </w:r>
      <w:r>
        <w:rPr>
          <w:rFonts w:ascii="黑体" w:hAnsi="黑体"/>
          <w:b w:val="0"/>
          <w:bCs w:val="0"/>
          <w:color w:val="000000"/>
          <w:sz w:val="32"/>
        </w:rPr>
        <w:t>发展与应用</w:t>
      </w:r>
      <w:bookmarkEnd w:id="103"/>
      <w:bookmarkEnd w:id="104"/>
    </w:p>
    <w:p>
      <w:pPr>
        <w:pStyle w:val="5"/>
        <w:spacing w:before="0" w:after="0" w:line="560" w:lineRule="exact"/>
        <w:ind w:left="420"/>
        <w:jc w:val="both"/>
        <w:rPr>
          <w:rFonts w:ascii="楷体_GB2312" w:hAnsi="楷体_GB2312" w:eastAsia="楷体_GB2312" w:cs="楷体_GB2312"/>
          <w:b w:val="0"/>
          <w:bCs w:val="0"/>
          <w:color w:val="000000"/>
          <w:sz w:val="32"/>
        </w:rPr>
      </w:pPr>
      <w:bookmarkStart w:id="105" w:name="_Toc2033"/>
      <w:bookmarkStart w:id="106" w:name="_Toc59789970"/>
      <w:r>
        <w:rPr>
          <w:rFonts w:hint="eastAsia" w:ascii="楷体_GB2312" w:hAnsi="楷体_GB2312" w:eastAsia="楷体_GB2312" w:cs="楷体_GB2312"/>
          <w:b w:val="0"/>
          <w:bCs w:val="0"/>
          <w:color w:val="000000"/>
          <w:sz w:val="32"/>
        </w:rPr>
        <w:t>（一）金融科技与监管创新</w:t>
      </w:r>
      <w:bookmarkEnd w:id="105"/>
      <w:bookmarkEnd w:id="106"/>
    </w:p>
    <w:p>
      <w:pPr>
        <w:widowControl w:val="0"/>
        <w:spacing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促进金融科技发展，鼓励金融科技创新，强化金融科技监管。第一，积极鼓励金融科技创新试点。加速大兴自贸区金融创新中心建设，积极参与研究支持金融科技创新的政策和试点。第二，综合运用金融科技创新监管机制。加强金融科技战略部署、强化金融科技合理应用、助力金融服务提质增效、增强金融风险防范能力、强化金融科技监管。</w:t>
      </w:r>
    </w:p>
    <w:p>
      <w:pPr>
        <w:pStyle w:val="5"/>
        <w:spacing w:before="0" w:after="0" w:line="560" w:lineRule="exact"/>
        <w:ind w:left="420"/>
        <w:jc w:val="both"/>
        <w:rPr>
          <w:rFonts w:ascii="楷体_GB2312" w:hAnsi="楷体_GB2312" w:eastAsia="楷体_GB2312" w:cs="楷体_GB2312"/>
          <w:b w:val="0"/>
          <w:bCs w:val="0"/>
          <w:color w:val="000000"/>
          <w:sz w:val="32"/>
        </w:rPr>
      </w:pPr>
      <w:bookmarkStart w:id="107" w:name="_Toc17020"/>
      <w:bookmarkStart w:id="108" w:name="_Toc59789971"/>
      <w:r>
        <w:rPr>
          <w:rFonts w:hint="eastAsia" w:ascii="楷体_GB2312" w:hAnsi="楷体_GB2312" w:eastAsia="楷体_GB2312" w:cs="楷体_GB2312"/>
          <w:b w:val="0"/>
          <w:bCs w:val="0"/>
          <w:color w:val="000000"/>
          <w:sz w:val="32"/>
        </w:rPr>
        <w:t>（二）打造金融科技产学研一体化合作平台</w:t>
      </w:r>
      <w:bookmarkEnd w:id="107"/>
      <w:bookmarkEnd w:id="108"/>
    </w:p>
    <w:p>
      <w:pPr>
        <w:widowControl w:val="0"/>
        <w:spacing w:line="560" w:lineRule="exact"/>
        <w:ind w:firstLine="640" w:firstLineChars="200"/>
        <w:jc w:val="both"/>
        <w:rPr>
          <w:rFonts w:ascii="仿宋" w:hAnsi="仿宋" w:eastAsia="仿宋"/>
          <w:color w:val="000000"/>
          <w:sz w:val="32"/>
        </w:rPr>
      </w:pPr>
      <w:r>
        <w:rPr>
          <w:rFonts w:hint="eastAsia" w:ascii="仿宋_GB2312" w:hAnsi="仿宋_GB2312" w:eastAsia="仿宋_GB2312" w:cs="仿宋_GB2312"/>
          <w:color w:val="000000"/>
          <w:sz w:val="32"/>
          <w:szCs w:val="32"/>
        </w:rPr>
        <w:t>基于合作共建、跨界共赢的平台建设思路，依法发展大兴区金融科技产学研合作平台。充分发挥金融科技生态圈的合力效应，进一步拓展金融科技生态圈覆盖范围，实现将金融科技能力向非金融机构与准金融机构领域的合理扩展，应用金融科技手段提升产业金融服务能力，促进金融科技赋能数字政务、数字产业、数字金融等行业发</w:t>
      </w:r>
      <w:bookmarkStart w:id="109" w:name="_Toc59789972"/>
      <w:bookmarkStart w:id="110" w:name="_Toc31513"/>
      <w:r>
        <w:rPr>
          <w:rFonts w:hint="eastAsia" w:ascii="仿宋_GB2312" w:hAnsi="仿宋_GB2312" w:eastAsia="仿宋_GB2312" w:cs="仿宋_GB2312"/>
          <w:color w:val="000000"/>
          <w:sz w:val="32"/>
          <w:szCs w:val="32"/>
        </w:rPr>
        <w:t>展。</w:t>
      </w:r>
    </w:p>
    <w:p>
      <w:pPr>
        <w:pStyle w:val="5"/>
        <w:spacing w:before="0" w:after="0" w:line="560" w:lineRule="exact"/>
        <w:ind w:left="420"/>
        <w:jc w:val="both"/>
        <w:rPr>
          <w:rFonts w:ascii="楷体_GB2312" w:hAnsi="楷体_GB2312" w:eastAsia="楷体_GB2312" w:cs="楷体_GB2312"/>
          <w:b w:val="0"/>
          <w:bCs w:val="0"/>
          <w:color w:val="000000"/>
          <w:sz w:val="32"/>
        </w:rPr>
      </w:pPr>
      <w:r>
        <w:rPr>
          <w:rFonts w:hint="eastAsia" w:ascii="楷体_GB2312" w:hAnsi="楷体_GB2312" w:eastAsia="楷体_GB2312" w:cs="楷体_GB2312"/>
          <w:b w:val="0"/>
          <w:bCs w:val="0"/>
          <w:color w:val="000000"/>
          <w:sz w:val="32"/>
        </w:rPr>
        <w:t>（三）加大“金融+科技”人才培养力度</w:t>
      </w:r>
    </w:p>
    <w:p>
      <w:pPr>
        <w:tabs>
          <w:tab w:val="left" w:pos="390"/>
        </w:tabs>
        <w:spacing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加大“金融+科技”人才培养引进力度，完善创新创业配套机制，优化人才居住生活环境。</w:t>
      </w:r>
      <w:bookmarkEnd w:id="109"/>
      <w:bookmarkEnd w:id="110"/>
      <w:bookmarkStart w:id="111" w:name="_Toc59789973"/>
      <w:bookmarkStart w:id="112" w:name="_Toc6545"/>
      <w:bookmarkStart w:id="113" w:name="_Toc3480"/>
      <w:r>
        <w:rPr>
          <w:rFonts w:hint="eastAsia" w:ascii="仿宋_GB2312" w:hAnsi="仿宋_GB2312" w:eastAsia="仿宋_GB2312" w:cs="仿宋_GB2312"/>
          <w:color w:val="000000"/>
          <w:sz w:val="32"/>
          <w:szCs w:val="32"/>
        </w:rPr>
        <w:t>支持金融机构和相关企业在“金融+科技”人才方面的机制建设，积极推动相关人才引进和培育，对符合要求的人才给予相应奖励；加大“金融+科技”专项培训力度，支持“金融+科技”专项培训活动，针对管理层、金融科技人才及其他员工的需求特点开展不同主题的专项培训学习；创新产学研融合培养模式，对接金融行业、院校或研究机构以及金融科技公司等资源，培养从业人员解决实际问题的能力。</w:t>
      </w:r>
      <w:bookmarkEnd w:id="111"/>
      <w:bookmarkEnd w:id="112"/>
    </w:p>
    <w:p>
      <w:pPr>
        <w:pStyle w:val="4"/>
        <w:spacing w:before="0" w:after="0" w:line="560" w:lineRule="exact"/>
        <w:ind w:left="602"/>
        <w:jc w:val="both"/>
        <w:rPr>
          <w:rFonts w:ascii="黑体" w:hAnsi="黑体"/>
          <w:b w:val="0"/>
          <w:bCs w:val="0"/>
          <w:color w:val="000000"/>
          <w:sz w:val="32"/>
        </w:rPr>
      </w:pPr>
      <w:bookmarkStart w:id="114" w:name="_Toc59789978"/>
      <w:r>
        <w:rPr>
          <w:rFonts w:ascii="黑体" w:hAnsi="黑体"/>
          <w:b w:val="0"/>
          <w:bCs w:val="0"/>
          <w:color w:val="000000"/>
          <w:sz w:val="32"/>
        </w:rPr>
        <w:t>四、加强金融风险防范</w:t>
      </w:r>
      <w:bookmarkEnd w:id="113"/>
      <w:bookmarkEnd w:id="114"/>
    </w:p>
    <w:p>
      <w:pPr>
        <w:pStyle w:val="5"/>
        <w:spacing w:before="0" w:after="0" w:line="560" w:lineRule="exact"/>
        <w:ind w:left="420"/>
        <w:jc w:val="both"/>
        <w:rPr>
          <w:rFonts w:ascii="楷体_GB2312" w:hAnsi="楷体_GB2312" w:eastAsia="楷体_GB2312" w:cs="楷体_GB2312"/>
          <w:b w:val="0"/>
          <w:bCs w:val="0"/>
          <w:color w:val="000000"/>
          <w:sz w:val="32"/>
        </w:rPr>
      </w:pPr>
      <w:bookmarkStart w:id="115" w:name="_Toc11953"/>
      <w:bookmarkStart w:id="116" w:name="_Toc59789979"/>
      <w:r>
        <w:rPr>
          <w:rFonts w:hint="eastAsia" w:ascii="楷体_GB2312" w:hAnsi="楷体_GB2312" w:eastAsia="楷体_GB2312" w:cs="楷体_GB2312"/>
          <w:b w:val="0"/>
          <w:bCs w:val="0"/>
          <w:color w:val="000000"/>
          <w:sz w:val="32"/>
        </w:rPr>
        <w:t>（一）金融风险监测与源头防范</w:t>
      </w:r>
      <w:bookmarkEnd w:id="115"/>
      <w:bookmarkEnd w:id="116"/>
    </w:p>
    <w:p>
      <w:pPr>
        <w:tabs>
          <w:tab w:val="left" w:pos="390"/>
        </w:tabs>
        <w:spacing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持续深化金融风险防范和应急处置工作，统筹调动各方资源，形成部门合力，落实涉金融字样服务管控联合审核，健全金融风险监测预警、排查管控工作机制，配合行业部门完善预付式领域监管细则，加强风险研判和源头治理，提升涉金融字样企业准入审核研判和金融风险管控能力。 </w:t>
      </w:r>
    </w:p>
    <w:p>
      <w:pPr>
        <w:pStyle w:val="5"/>
        <w:spacing w:before="0" w:after="0" w:line="560" w:lineRule="exact"/>
        <w:ind w:left="420"/>
        <w:jc w:val="both"/>
        <w:rPr>
          <w:rFonts w:ascii="楷体_GB2312" w:hAnsi="楷体_GB2312" w:eastAsia="楷体_GB2312" w:cs="楷体_GB2312"/>
          <w:b w:val="0"/>
          <w:bCs w:val="0"/>
          <w:color w:val="000000"/>
          <w:sz w:val="32"/>
        </w:rPr>
      </w:pPr>
      <w:bookmarkStart w:id="117" w:name="_Toc29048"/>
      <w:bookmarkStart w:id="118" w:name="_Toc59789980"/>
      <w:r>
        <w:rPr>
          <w:rFonts w:hint="eastAsia" w:ascii="楷体_GB2312" w:hAnsi="楷体_GB2312" w:eastAsia="楷体_GB2312" w:cs="楷体_GB2312"/>
          <w:b w:val="0"/>
          <w:bCs w:val="0"/>
          <w:color w:val="000000"/>
          <w:sz w:val="32"/>
        </w:rPr>
        <w:t>（二）落实《处非条例》职责任务</w:t>
      </w:r>
    </w:p>
    <w:p>
      <w:pPr>
        <w:tabs>
          <w:tab w:val="left" w:pos="390"/>
        </w:tabs>
        <w:spacing w:line="560" w:lineRule="exact"/>
        <w:ind w:firstLine="640" w:firstLineChars="200"/>
        <w:jc w:val="both"/>
        <w:rPr>
          <w:rFonts w:ascii="仿宋_GB2312" w:hAnsi="仿宋_GB2312" w:eastAsia="仿宋_GB2312" w:cs="仿宋_GB2312"/>
          <w:color w:val="000000"/>
          <w:kern w:val="32"/>
          <w:sz w:val="32"/>
          <w:szCs w:val="32"/>
        </w:rPr>
      </w:pPr>
      <w:r>
        <w:rPr>
          <w:rFonts w:hint="eastAsia" w:ascii="仿宋_GB2312" w:hAnsi="仿宋_GB2312" w:eastAsia="仿宋_GB2312" w:cs="仿宋_GB2312"/>
          <w:color w:val="000000"/>
          <w:kern w:val="32"/>
          <w:sz w:val="32"/>
          <w:szCs w:val="32"/>
        </w:rPr>
        <w:t>贯彻落实《防范和处置非法集资条例》和《北京市贯彻落实〈防范和处置非法集资条例〉实施办法》精神，明确风险处置责任分工，明确属地、部门职责，结合工作实际，建立健全工作流程、执法模式、执法文书等配套机制，切实提高依法处置金融风险的工作水平。</w:t>
      </w:r>
      <w:bookmarkEnd w:id="117"/>
      <w:bookmarkEnd w:id="118"/>
    </w:p>
    <w:p>
      <w:pPr>
        <w:pStyle w:val="5"/>
        <w:spacing w:before="0" w:after="0" w:line="560" w:lineRule="exact"/>
        <w:ind w:left="420"/>
        <w:jc w:val="both"/>
        <w:rPr>
          <w:rFonts w:ascii="楷体_GB2312" w:hAnsi="楷体_GB2312" w:eastAsia="楷体_GB2312" w:cs="楷体_GB2312"/>
          <w:b w:val="0"/>
          <w:bCs w:val="0"/>
          <w:color w:val="000000"/>
          <w:sz w:val="32"/>
        </w:rPr>
      </w:pPr>
      <w:r>
        <w:rPr>
          <w:rFonts w:hint="eastAsia" w:ascii="楷体_GB2312" w:hAnsi="楷体_GB2312" w:eastAsia="楷体_GB2312" w:cs="楷体_GB2312"/>
          <w:b w:val="0"/>
          <w:bCs w:val="0"/>
          <w:color w:val="000000"/>
          <w:sz w:val="32"/>
        </w:rPr>
        <w:t>（三）推动金融安全宣传</w:t>
      </w:r>
    </w:p>
    <w:p>
      <w:pPr>
        <w:pStyle w:val="25"/>
        <w:spacing w:line="560" w:lineRule="exact"/>
        <w:ind w:firstLine="640" w:firstLineChars="200"/>
      </w:pPr>
      <w:r>
        <w:rPr>
          <w:rFonts w:hint="eastAsia" w:ascii="仿宋_GB2312" w:hAnsi="仿宋_GB2312" w:cs="仿宋_GB2312"/>
          <w:szCs w:val="32"/>
        </w:rPr>
        <w:t>加强金融安全知识宣传普及活动，指导驻区企业和群众树立正确的金融理念，提升群众金融安全意识。形成社区化、法制化、常态化金融安全宣传教育工作机制，强化基层防非处非队伍培训，提升一线工作能力水平，开展典型案例、风险提升等靶向宣教，增强群众识骗防骗能力，实现年度金融安全宣教活动各村、社区、集中办公区全覆盖，营造全民参与共同抵制非法金融活动的良好氛围。</w:t>
      </w:r>
    </w:p>
    <w:p>
      <w:pPr>
        <w:spacing w:line="560" w:lineRule="exact"/>
        <w:jc w:val="both"/>
        <w:rPr>
          <w:color w:val="000000"/>
          <w:sz w:val="36"/>
          <w:szCs w:val="52"/>
        </w:rPr>
      </w:pPr>
      <w:bookmarkStart w:id="119" w:name="_Toc14056"/>
      <w:bookmarkStart w:id="120" w:name="_Toc57362194"/>
      <w:r>
        <w:rPr>
          <w:rFonts w:hint="eastAsia"/>
          <w:color w:val="000000"/>
          <w:sz w:val="36"/>
          <w:szCs w:val="52"/>
        </w:rPr>
        <w:br w:type="page"/>
      </w:r>
    </w:p>
    <w:p>
      <w:pPr>
        <w:pStyle w:val="3"/>
        <w:spacing w:before="0" w:after="489" w:afterLines="150" w:line="560" w:lineRule="exact"/>
        <w:jc w:val="center"/>
        <w:rPr>
          <w:color w:val="000000"/>
          <w:sz w:val="36"/>
          <w:szCs w:val="52"/>
        </w:rPr>
      </w:pPr>
      <w:bookmarkStart w:id="121" w:name="_Toc19803"/>
      <w:bookmarkStart w:id="122" w:name="_Toc59789981"/>
      <w:r>
        <w:rPr>
          <w:rFonts w:hint="eastAsia"/>
          <w:color w:val="000000"/>
          <w:sz w:val="36"/>
          <w:szCs w:val="52"/>
        </w:rPr>
        <w:t>第五章 规划实施保障措施</w:t>
      </w:r>
      <w:bookmarkEnd w:id="102"/>
      <w:bookmarkEnd w:id="119"/>
      <w:bookmarkEnd w:id="120"/>
      <w:bookmarkEnd w:id="121"/>
      <w:bookmarkEnd w:id="122"/>
    </w:p>
    <w:p>
      <w:pPr>
        <w:pStyle w:val="4"/>
        <w:spacing w:before="0" w:after="0" w:line="560" w:lineRule="exact"/>
        <w:ind w:left="602"/>
        <w:jc w:val="both"/>
        <w:rPr>
          <w:rFonts w:ascii="黑体" w:hAnsi="黑体"/>
          <w:b w:val="0"/>
          <w:bCs w:val="0"/>
          <w:color w:val="000000"/>
          <w:sz w:val="32"/>
        </w:rPr>
      </w:pPr>
      <w:bookmarkStart w:id="123" w:name="_Toc59789982"/>
      <w:bookmarkStart w:id="124" w:name="_Toc57362195"/>
      <w:bookmarkStart w:id="125" w:name="_Toc302"/>
      <w:bookmarkStart w:id="126" w:name="_Toc18877"/>
      <w:r>
        <w:rPr>
          <w:rFonts w:hint="eastAsia" w:ascii="黑体" w:hAnsi="黑体"/>
          <w:b w:val="0"/>
          <w:bCs w:val="0"/>
          <w:color w:val="000000"/>
          <w:sz w:val="32"/>
        </w:rPr>
        <w:t>一、合理把握规划实施中的刚性与弹性</w:t>
      </w:r>
      <w:bookmarkEnd w:id="123"/>
      <w:bookmarkEnd w:id="124"/>
      <w:bookmarkEnd w:id="125"/>
      <w:bookmarkEnd w:id="126"/>
    </w:p>
    <w:p>
      <w:pPr>
        <w:tabs>
          <w:tab w:val="left" w:pos="390"/>
        </w:tabs>
        <w:spacing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持续关注金融发展形势和政策法规的变化，做好规划与上级有关精神的对接工作，在规划实施方向和战略上与中央和北京市精神保持一致。在坚决落实基本目标的同时，结合不断变化的情况因地制宜的创新实施策略。定期对规划的实施完成情况进行总结，根据每阶段的规划执行情况完善下阶段的执行计划，定期与各相关部门、各行业重点企业进行沟通，实时掌握企业不同阶段的金融需求，合理调整金融政策措施。</w:t>
      </w:r>
    </w:p>
    <w:p>
      <w:pPr>
        <w:pStyle w:val="4"/>
        <w:spacing w:before="0" w:after="0" w:line="560" w:lineRule="exact"/>
        <w:ind w:left="602"/>
        <w:jc w:val="both"/>
        <w:rPr>
          <w:rFonts w:ascii="黑体" w:hAnsi="黑体"/>
          <w:b w:val="0"/>
          <w:bCs w:val="0"/>
          <w:color w:val="000000"/>
          <w:sz w:val="32"/>
        </w:rPr>
      </w:pPr>
      <w:bookmarkStart w:id="127" w:name="_Toc27424"/>
      <w:bookmarkStart w:id="128" w:name="_Toc28266"/>
      <w:bookmarkStart w:id="129" w:name="_Toc57362196"/>
      <w:bookmarkStart w:id="130" w:name="_Toc59789983"/>
      <w:r>
        <w:rPr>
          <w:rFonts w:hint="eastAsia" w:ascii="黑体" w:hAnsi="黑体"/>
          <w:b w:val="0"/>
          <w:bCs w:val="0"/>
          <w:color w:val="000000"/>
          <w:sz w:val="32"/>
        </w:rPr>
        <w:t>二、要有效覆盖全局同时突出工作重点</w:t>
      </w:r>
      <w:bookmarkEnd w:id="127"/>
      <w:bookmarkEnd w:id="128"/>
      <w:bookmarkEnd w:id="129"/>
      <w:bookmarkEnd w:id="130"/>
    </w:p>
    <w:p>
      <w:pPr>
        <w:tabs>
          <w:tab w:val="left" w:pos="390"/>
        </w:tabs>
        <w:spacing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除了继续做好重点产业金融、普惠金融与特色金融服务等重要工作以外，还要用好用足“两区”建设政策红利。通过多种方式提高解决方案的系统性，既坚守合规与风险意识，又要把蕴含的潜力充分释放出来，增加金融供给能力，助力大兴金融高质量发展。第一，加强对区内与区外有关金融机构和企业的调研，梳理政策需求清单，在上级有关部门支持下探索落地方案。第二，加强与其他地区地方金融监管部门的交流与沟通，密切关注市内和国内同类地区的政策进展，积极借鉴这些地区已经或即将落地的前沿政策。第三，动员和调动各方积极性，争取在一些金融细分领域内引入核心企业，在提高对本地实体经济金融支持力度的同时，增强大兴金融业的对外辐射能力。</w:t>
      </w:r>
    </w:p>
    <w:p>
      <w:pPr>
        <w:pStyle w:val="4"/>
        <w:spacing w:before="0" w:after="0" w:line="560" w:lineRule="exact"/>
        <w:ind w:left="602"/>
        <w:jc w:val="both"/>
        <w:rPr>
          <w:rFonts w:ascii="黑体" w:hAnsi="黑体"/>
          <w:b w:val="0"/>
          <w:bCs w:val="0"/>
          <w:color w:val="000000"/>
          <w:sz w:val="32"/>
        </w:rPr>
      </w:pPr>
      <w:bookmarkStart w:id="131" w:name="_Toc30700"/>
      <w:bookmarkStart w:id="132" w:name="_Toc57362197"/>
      <w:bookmarkStart w:id="133" w:name="_Toc5402"/>
      <w:bookmarkStart w:id="134" w:name="_Toc59789984"/>
      <w:bookmarkStart w:id="135" w:name="_Toc56587384"/>
      <w:r>
        <w:rPr>
          <w:rFonts w:hint="eastAsia" w:ascii="黑体" w:hAnsi="黑体"/>
          <w:b w:val="0"/>
          <w:bCs w:val="0"/>
          <w:color w:val="000000"/>
          <w:sz w:val="32"/>
        </w:rPr>
        <w:t>三、完善规划落实机制</w:t>
      </w:r>
      <w:bookmarkEnd w:id="131"/>
      <w:bookmarkEnd w:id="132"/>
      <w:bookmarkEnd w:id="133"/>
      <w:bookmarkEnd w:id="134"/>
      <w:bookmarkEnd w:id="135"/>
    </w:p>
    <w:p>
      <w:pPr>
        <w:tabs>
          <w:tab w:val="left" w:pos="390"/>
        </w:tabs>
        <w:spacing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持续督促、跟进规划重点项目落地和建设进度，建立完善的监督体制，将责任明确到各单位、各具体负责人，加强与属地街道、乡镇的工作协调，夯实属地责任，重点项目实现一对一对接，积极与项目主体全方位、多层次开展合作，保证规划项目按计划完成。</w:t>
      </w:r>
    </w:p>
    <w:p>
      <w:pPr>
        <w:pStyle w:val="25"/>
        <w:spacing w:line="560" w:lineRule="exact"/>
        <w:jc w:val="both"/>
        <w:rPr>
          <w:rFonts w:ascii="仿宋_GB2312" w:hAnsi="仿宋_GB2312" w:cs="仿宋_GB2312"/>
          <w:szCs w:val="32"/>
        </w:rPr>
      </w:pPr>
    </w:p>
    <w:p>
      <w:pPr>
        <w:spacing w:line="560" w:lineRule="exact"/>
        <w:jc w:val="both"/>
        <w:rPr>
          <w:rFonts w:ascii="仿宋_GB2312" w:hAnsi="仿宋_GB2312" w:eastAsia="仿宋_GB2312" w:cs="仿宋_GB2312"/>
          <w:color w:val="000000"/>
          <w:sz w:val="32"/>
          <w:szCs w:val="32"/>
        </w:rPr>
      </w:pPr>
    </w:p>
    <w:p>
      <w:pPr>
        <w:pStyle w:val="25"/>
        <w:spacing w:line="560" w:lineRule="exact"/>
        <w:jc w:val="both"/>
        <w:rPr>
          <w:rFonts w:ascii="仿宋_GB2312" w:hAnsi="仿宋_GB2312" w:cs="仿宋_GB2312"/>
          <w:szCs w:val="32"/>
        </w:rPr>
      </w:pPr>
    </w:p>
    <w:p>
      <w:pPr>
        <w:spacing w:line="560" w:lineRule="exact"/>
        <w:jc w:val="both"/>
        <w:rPr>
          <w:rFonts w:ascii="仿宋_GB2312" w:hAnsi="仿宋_GB2312" w:eastAsia="仿宋_GB2312" w:cs="仿宋_GB2312"/>
          <w:color w:val="000000"/>
          <w:sz w:val="32"/>
          <w:szCs w:val="32"/>
        </w:rPr>
      </w:pPr>
    </w:p>
    <w:p>
      <w:pPr>
        <w:pStyle w:val="25"/>
        <w:spacing w:line="560" w:lineRule="exact"/>
        <w:jc w:val="both"/>
        <w:rPr>
          <w:rFonts w:ascii="仿宋_GB2312" w:hAnsi="仿宋_GB2312" w:cs="仿宋_GB2312"/>
          <w:szCs w:val="32"/>
        </w:rPr>
      </w:pPr>
    </w:p>
    <w:p>
      <w:pPr>
        <w:spacing w:line="560" w:lineRule="exact"/>
        <w:jc w:val="both"/>
        <w:rPr>
          <w:rFonts w:ascii="仿宋_GB2312" w:hAnsi="仿宋_GB2312" w:eastAsia="仿宋_GB2312" w:cs="仿宋_GB2312"/>
          <w:color w:val="000000"/>
          <w:sz w:val="32"/>
          <w:szCs w:val="32"/>
        </w:rPr>
      </w:pPr>
    </w:p>
    <w:p>
      <w:pPr>
        <w:pStyle w:val="25"/>
        <w:spacing w:line="560" w:lineRule="exact"/>
        <w:jc w:val="both"/>
        <w:rPr>
          <w:rFonts w:ascii="仿宋_GB2312" w:hAnsi="仿宋_GB2312" w:cs="仿宋_GB2312"/>
          <w:szCs w:val="32"/>
        </w:rPr>
      </w:pPr>
    </w:p>
    <w:p>
      <w:pPr>
        <w:spacing w:line="560" w:lineRule="exact"/>
        <w:jc w:val="both"/>
        <w:rPr>
          <w:rFonts w:ascii="仿宋_GB2312" w:hAnsi="仿宋_GB2312" w:eastAsia="仿宋_GB2312" w:cs="仿宋_GB2312"/>
          <w:color w:val="000000"/>
          <w:sz w:val="32"/>
          <w:szCs w:val="32"/>
        </w:rPr>
      </w:pPr>
    </w:p>
    <w:p>
      <w:pPr>
        <w:pStyle w:val="25"/>
        <w:spacing w:line="560" w:lineRule="exact"/>
        <w:jc w:val="both"/>
        <w:rPr>
          <w:rFonts w:ascii="仿宋_GB2312" w:hAnsi="仿宋_GB2312" w:cs="仿宋_GB2312"/>
          <w:szCs w:val="32"/>
        </w:rPr>
      </w:pPr>
    </w:p>
    <w:p>
      <w:pPr>
        <w:spacing w:line="560" w:lineRule="exact"/>
        <w:jc w:val="both"/>
        <w:rPr>
          <w:rFonts w:ascii="仿宋_GB2312" w:hAnsi="仿宋_GB2312" w:eastAsia="仿宋_GB2312" w:cs="仿宋_GB2312"/>
          <w:color w:val="000000"/>
          <w:sz w:val="32"/>
          <w:szCs w:val="32"/>
        </w:rPr>
      </w:pPr>
    </w:p>
    <w:p>
      <w:pPr>
        <w:pStyle w:val="25"/>
        <w:spacing w:line="560" w:lineRule="exact"/>
        <w:jc w:val="both"/>
        <w:rPr>
          <w:rFonts w:ascii="仿宋_GB2312" w:hAnsi="仿宋_GB2312" w:cs="仿宋_GB2312"/>
          <w:szCs w:val="32"/>
        </w:rPr>
      </w:pPr>
    </w:p>
    <w:p>
      <w:pPr>
        <w:spacing w:line="560" w:lineRule="exact"/>
        <w:jc w:val="both"/>
        <w:rPr>
          <w:rFonts w:ascii="仿宋_GB2312" w:hAnsi="仿宋_GB2312" w:eastAsia="仿宋_GB2312" w:cs="仿宋_GB2312"/>
          <w:color w:val="000000"/>
          <w:sz w:val="32"/>
          <w:szCs w:val="32"/>
        </w:rPr>
      </w:pPr>
    </w:p>
    <w:p>
      <w:pPr>
        <w:pStyle w:val="25"/>
        <w:spacing w:line="560" w:lineRule="exact"/>
        <w:jc w:val="both"/>
        <w:rPr>
          <w:rFonts w:ascii="仿宋_GB2312" w:hAnsi="仿宋_GB2312" w:cs="仿宋_GB2312"/>
          <w:szCs w:val="32"/>
        </w:rPr>
      </w:pPr>
    </w:p>
    <w:p>
      <w:pPr>
        <w:spacing w:line="560" w:lineRule="exact"/>
        <w:jc w:val="both"/>
        <w:rPr>
          <w:rFonts w:ascii="仿宋_GB2312" w:hAnsi="仿宋_GB2312" w:eastAsia="仿宋_GB2312" w:cs="仿宋_GB2312"/>
          <w:color w:val="000000"/>
          <w:sz w:val="32"/>
          <w:szCs w:val="32"/>
        </w:rPr>
      </w:pPr>
    </w:p>
    <w:p>
      <w:pPr>
        <w:pStyle w:val="25"/>
        <w:spacing w:line="560" w:lineRule="exact"/>
        <w:jc w:val="both"/>
        <w:rPr>
          <w:rFonts w:ascii="仿宋_GB2312" w:hAnsi="仿宋_GB2312" w:cs="仿宋_GB2312"/>
          <w:szCs w:val="32"/>
        </w:rPr>
      </w:pPr>
    </w:p>
    <w:p>
      <w:pPr>
        <w:spacing w:line="560" w:lineRule="exact"/>
        <w:jc w:val="both"/>
        <w:rPr>
          <w:rFonts w:ascii="仿宋_GB2312" w:hAnsi="仿宋_GB2312" w:eastAsia="仿宋_GB2312" w:cs="仿宋_GB2312"/>
          <w:color w:val="000000"/>
          <w:sz w:val="32"/>
          <w:szCs w:val="32"/>
        </w:rPr>
      </w:pPr>
    </w:p>
    <w:p>
      <w:pPr>
        <w:pStyle w:val="25"/>
        <w:spacing w:line="560" w:lineRule="exact"/>
        <w:jc w:val="both"/>
        <w:rPr>
          <w:rFonts w:ascii="仿宋_GB2312" w:hAnsi="仿宋_GB2312" w:cs="仿宋_GB2312"/>
          <w:szCs w:val="32"/>
        </w:rPr>
      </w:pPr>
    </w:p>
    <w:p>
      <w:pPr>
        <w:spacing w:line="560" w:lineRule="exact"/>
        <w:jc w:val="both"/>
        <w:rPr>
          <w:rFonts w:ascii="方正小标宋简体" w:hAnsi="方正小标宋简体" w:eastAsia="方正小标宋简体" w:cs="方正小标宋简体"/>
          <w:color w:val="000000"/>
          <w:sz w:val="44"/>
          <w:szCs w:val="44"/>
        </w:rPr>
      </w:pPr>
    </w:p>
    <w:p>
      <w:pPr>
        <w:pStyle w:val="3"/>
        <w:spacing w:before="0" w:after="489" w:afterLines="150" w:line="560" w:lineRule="exact"/>
        <w:jc w:val="center"/>
        <w:rPr>
          <w:color w:val="000000"/>
          <w:sz w:val="36"/>
          <w:szCs w:val="52"/>
        </w:rPr>
      </w:pPr>
      <w:r>
        <w:rPr>
          <w:rFonts w:hint="eastAsia"/>
          <w:color w:val="000000"/>
          <w:sz w:val="36"/>
          <w:szCs w:val="52"/>
        </w:rPr>
        <w:t>附录：名词解释</w:t>
      </w:r>
    </w:p>
    <w:p>
      <w:pPr>
        <w:widowControl w:val="0"/>
        <w:spacing w:line="560" w:lineRule="exact"/>
        <w:ind w:firstLine="643"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1.</w:t>
      </w:r>
      <w:r>
        <w:rPr>
          <w:rFonts w:hint="eastAsia" w:ascii="仿宋_GB2312" w:hAnsi="仿宋_GB2312" w:eastAsia="仿宋_GB2312" w:cs="仿宋_GB2312"/>
          <w:color w:val="000000"/>
          <w:sz w:val="32"/>
          <w:szCs w:val="32"/>
        </w:rPr>
        <w:t>CMBS：商业房地产抵押贷款支持证券是指以商业房地产为抵押，以相关物业资产未来收入为偿债本息来源的资产支持证券产品。</w:t>
      </w:r>
    </w:p>
    <w:p>
      <w:pPr>
        <w:widowControl w:val="0"/>
        <w:spacing w:line="560" w:lineRule="exact"/>
        <w:ind w:firstLine="643"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2.</w:t>
      </w:r>
      <w:r>
        <w:rPr>
          <w:rFonts w:hint="eastAsia" w:ascii="仿宋_GB2312" w:hAnsi="仿宋_GB2312" w:eastAsia="仿宋_GB2312" w:cs="仿宋_GB2312"/>
          <w:color w:val="000000"/>
          <w:sz w:val="32"/>
          <w:szCs w:val="32"/>
        </w:rPr>
        <w:t>REITs：基础设施领域不动产投资信托基金是指将具有持续稳定收益的基础设施领域资产或特许经营权益，转化为流动性较强的、可上市交易的标准化、权益型金融产品，在证券交易所公开发行募集资金从而盘活存量资产。</w:t>
      </w:r>
    </w:p>
    <w:p>
      <w:pPr>
        <w:widowControl w:val="0"/>
        <w:spacing w:line="560" w:lineRule="exact"/>
        <w:ind w:firstLine="643" w:firstLineChars="200"/>
        <w:jc w:val="both"/>
        <w:rPr>
          <w:rFonts w:ascii="仿宋_GB2312" w:hAnsi="仿宋_GB2312" w:eastAsia="仿宋_GB2312" w:cs="仿宋_GB2312"/>
          <w:color w:val="000000"/>
          <w:sz w:val="32"/>
          <w:szCs w:val="32"/>
        </w:rPr>
      </w:pPr>
      <w:r>
        <w:rPr>
          <w:rFonts w:ascii="仿宋_GB2312" w:hAnsi="仿宋_GB2312" w:eastAsia="仿宋_GB2312" w:cs="仿宋_GB2312"/>
          <w:b/>
          <w:bCs/>
          <w:color w:val="000000"/>
          <w:sz w:val="32"/>
          <w:szCs w:val="32"/>
        </w:rPr>
        <w:t>3</w:t>
      </w:r>
      <w:r>
        <w:rPr>
          <w:rFonts w:hint="eastAsia" w:ascii="仿宋_GB2312" w:hAnsi="仿宋_GB2312" w:eastAsia="仿宋_GB2312" w:cs="仿宋_GB2312"/>
          <w:b/>
          <w:bCs/>
          <w:color w:val="000000"/>
          <w:sz w:val="32"/>
          <w:szCs w:val="32"/>
        </w:rPr>
        <w:t>.创投基金</w:t>
      </w:r>
      <w:r>
        <w:rPr>
          <w:rFonts w:hint="eastAsia" w:ascii="仿宋_GB2312" w:hAnsi="仿宋_GB2312" w:eastAsia="仿宋_GB2312" w:cs="仿宋_GB2312"/>
          <w:color w:val="000000"/>
          <w:sz w:val="32"/>
          <w:szCs w:val="32"/>
        </w:rPr>
        <w:t>：向处于创建或重建过程中的未上市成长性创业企业进行股权投资，以期所投资创业企业发育成熟或相对成熟后，主要通过股权转让获取资本增值收益的股权投资基金。</w:t>
      </w:r>
    </w:p>
    <w:p>
      <w:pPr>
        <w:widowControl w:val="0"/>
        <w:spacing w:line="560" w:lineRule="exact"/>
        <w:ind w:firstLine="643" w:firstLineChars="200"/>
        <w:jc w:val="both"/>
        <w:rPr>
          <w:rFonts w:ascii="仿宋_GB2312" w:hAnsi="仿宋_GB2312" w:eastAsia="仿宋_GB2312" w:cs="仿宋_GB2312"/>
          <w:color w:val="000000"/>
          <w:sz w:val="32"/>
          <w:szCs w:val="32"/>
        </w:rPr>
      </w:pPr>
      <w:r>
        <w:rPr>
          <w:rFonts w:ascii="仿宋_GB2312" w:hAnsi="仿宋_GB2312" w:eastAsia="仿宋_GB2312" w:cs="仿宋_GB2312"/>
          <w:b/>
          <w:bCs/>
          <w:color w:val="000000"/>
          <w:sz w:val="32"/>
          <w:szCs w:val="32"/>
        </w:rPr>
        <w:t>4</w:t>
      </w:r>
      <w:r>
        <w:rPr>
          <w:rFonts w:hint="eastAsia" w:ascii="仿宋_GB2312" w:hAnsi="仿宋_GB2312" w:eastAsia="仿宋_GB2312" w:cs="仿宋_GB2312"/>
          <w:b/>
          <w:bCs/>
          <w:color w:val="000000"/>
          <w:sz w:val="32"/>
          <w:szCs w:val="32"/>
        </w:rPr>
        <w:t>.种子基金</w:t>
      </w:r>
      <w:r>
        <w:rPr>
          <w:rFonts w:hint="eastAsia" w:ascii="仿宋_GB2312" w:hAnsi="仿宋_GB2312" w:eastAsia="仿宋_GB2312" w:cs="仿宋_GB2312"/>
          <w:color w:val="000000"/>
          <w:sz w:val="32"/>
          <w:szCs w:val="32"/>
        </w:rPr>
        <w:t>：专门投资于创业企业研究与发展阶段的投资基金。</w:t>
      </w:r>
    </w:p>
    <w:p>
      <w:pPr>
        <w:widowControl w:val="0"/>
        <w:spacing w:line="560" w:lineRule="exact"/>
        <w:ind w:firstLine="643" w:firstLineChars="200"/>
        <w:jc w:val="both"/>
        <w:rPr>
          <w:rFonts w:ascii="仿宋_GB2312" w:hAnsi="仿宋_GB2312" w:eastAsia="仿宋_GB2312" w:cs="仿宋_GB2312"/>
          <w:color w:val="FF0000"/>
          <w:sz w:val="32"/>
          <w:szCs w:val="32"/>
        </w:rPr>
      </w:pPr>
      <w:r>
        <w:rPr>
          <w:rFonts w:ascii="仿宋_GB2312" w:hAnsi="仿宋_GB2312" w:eastAsia="仿宋_GB2312" w:cs="仿宋_GB2312"/>
          <w:b/>
          <w:bCs/>
          <w:color w:val="000000"/>
          <w:sz w:val="32"/>
          <w:szCs w:val="32"/>
        </w:rPr>
        <w:t>5</w:t>
      </w:r>
      <w:r>
        <w:rPr>
          <w:rFonts w:hint="eastAsia" w:ascii="仿宋_GB2312" w:hAnsi="仿宋_GB2312" w:eastAsia="仿宋_GB2312" w:cs="仿宋_GB2312"/>
          <w:b/>
          <w:bCs/>
          <w:color w:val="000000"/>
          <w:sz w:val="32"/>
          <w:szCs w:val="32"/>
        </w:rPr>
        <w:t>.天使基金</w:t>
      </w:r>
      <w:r>
        <w:rPr>
          <w:rFonts w:hint="eastAsia" w:ascii="仿宋_GB2312" w:hAnsi="仿宋_GB2312" w:eastAsia="仿宋_GB2312" w:cs="仿宋_GB2312"/>
          <w:color w:val="000000"/>
          <w:sz w:val="32"/>
          <w:szCs w:val="32"/>
        </w:rPr>
        <w:t>：专门投资于企业种子期、初创期的一种风险投资。</w:t>
      </w:r>
    </w:p>
    <w:p>
      <w:pPr>
        <w:widowControl w:val="0"/>
        <w:spacing w:line="560" w:lineRule="exact"/>
        <w:ind w:firstLine="643" w:firstLineChars="200"/>
        <w:jc w:val="both"/>
        <w:rPr>
          <w:rFonts w:ascii="仿宋_GB2312" w:hAnsi="仿宋_GB2312" w:eastAsia="仿宋_GB2312" w:cs="仿宋_GB2312"/>
          <w:color w:val="000000"/>
          <w:sz w:val="32"/>
          <w:szCs w:val="32"/>
        </w:rPr>
      </w:pPr>
      <w:r>
        <w:rPr>
          <w:rFonts w:ascii="仿宋_GB2312" w:hAnsi="仿宋_GB2312" w:eastAsia="仿宋_GB2312" w:cs="仿宋_GB2312"/>
          <w:b/>
          <w:bCs/>
          <w:color w:val="000000"/>
          <w:sz w:val="32"/>
          <w:szCs w:val="32"/>
        </w:rPr>
        <w:t>6</w:t>
      </w:r>
      <w:r>
        <w:rPr>
          <w:rFonts w:hint="eastAsia" w:ascii="仿宋_GB2312" w:hAnsi="仿宋_GB2312" w:eastAsia="仿宋_GB2312" w:cs="仿宋_GB2312"/>
          <w:b/>
          <w:bCs/>
          <w:color w:val="000000"/>
          <w:sz w:val="32"/>
          <w:szCs w:val="32"/>
        </w:rPr>
        <w:t>.大兴金融V服务</w:t>
      </w:r>
      <w:r>
        <w:rPr>
          <w:rFonts w:hint="eastAsia" w:ascii="仿宋_GB2312" w:hAnsi="仿宋_GB2312" w:eastAsia="仿宋_GB2312" w:cs="仿宋_GB2312"/>
          <w:color w:val="000000"/>
          <w:sz w:val="32"/>
          <w:szCs w:val="32"/>
        </w:rPr>
        <w:t>：平台分为微信端、网页版和触控终端三大运行载体，内容涵盖“我要融资、我要理财、我要保险、我要上市、首贷续贷、金融安全、信用大兴、通讯录”八个功能模块，立足通过整合资源、提供便捷渠道，着力打造成为集信息发布、机构展示、产品查询、服务对接、风险防范等金融信息服务为核心的动态交互平台。</w:t>
      </w:r>
    </w:p>
    <w:p>
      <w:pPr>
        <w:widowControl w:val="0"/>
        <w:spacing w:line="560" w:lineRule="exact"/>
        <w:ind w:firstLine="643" w:firstLineChars="200"/>
        <w:jc w:val="both"/>
        <w:rPr>
          <w:rFonts w:ascii="仿宋_GB2312" w:hAnsi="仿宋_GB2312" w:eastAsia="仿宋_GB2312" w:cs="仿宋_GB2312"/>
          <w:color w:val="000000"/>
          <w:sz w:val="32"/>
          <w:szCs w:val="32"/>
        </w:rPr>
      </w:pPr>
      <w:r>
        <w:rPr>
          <w:rFonts w:ascii="仿宋_GB2312" w:hAnsi="仿宋_GB2312" w:eastAsia="仿宋_GB2312" w:cs="仿宋_GB2312"/>
          <w:b/>
          <w:bCs/>
          <w:color w:val="000000"/>
          <w:sz w:val="32"/>
          <w:szCs w:val="32"/>
        </w:rPr>
        <w:t>7</w:t>
      </w:r>
      <w:r>
        <w:rPr>
          <w:rFonts w:hint="eastAsia" w:ascii="仿宋_GB2312" w:hAnsi="仿宋_GB2312" w:eastAsia="仿宋_GB2312" w:cs="仿宋_GB2312"/>
          <w:b/>
          <w:bCs/>
          <w:color w:val="000000"/>
          <w:sz w:val="32"/>
          <w:szCs w:val="32"/>
        </w:rPr>
        <w:t>.数字经济</w:t>
      </w:r>
      <w:r>
        <w:rPr>
          <w:rFonts w:hint="eastAsia" w:ascii="仿宋_GB2312" w:hAnsi="仿宋_GB2312" w:eastAsia="仿宋_GB2312" w:cs="仿宋_GB2312"/>
          <w:color w:val="000000"/>
          <w:sz w:val="32"/>
          <w:szCs w:val="32"/>
        </w:rPr>
        <w:t>：以使用数字化的知识和信息作为关键生产要素、以现代信息网络作为重要载体、以信息通信技术的有效使用作为效率提升和经济结构优化的重要推动力的一系列经济活动。</w:t>
      </w:r>
    </w:p>
    <w:p>
      <w:pPr>
        <w:widowControl w:val="0"/>
        <w:spacing w:line="560" w:lineRule="exact"/>
        <w:ind w:firstLine="643" w:firstLineChars="200"/>
        <w:jc w:val="both"/>
        <w:rPr>
          <w:rFonts w:ascii="仿宋_GB2312" w:hAnsi="仿宋_GB2312" w:eastAsia="仿宋_GB2312" w:cs="仿宋_GB2312"/>
          <w:color w:val="000000"/>
          <w:sz w:val="32"/>
        </w:rPr>
      </w:pPr>
      <w:r>
        <w:rPr>
          <w:rFonts w:ascii="仿宋_GB2312" w:hAnsi="仿宋_GB2312" w:eastAsia="仿宋_GB2312" w:cs="仿宋_GB2312"/>
          <w:b/>
          <w:bCs/>
          <w:color w:val="000000"/>
          <w:sz w:val="32"/>
        </w:rPr>
        <w:t>8</w:t>
      </w:r>
      <w:r>
        <w:rPr>
          <w:rFonts w:hint="eastAsia" w:ascii="仿宋_GB2312" w:hAnsi="仿宋_GB2312" w:eastAsia="仿宋_GB2312" w:cs="仿宋_GB2312"/>
          <w:b/>
          <w:bCs/>
          <w:color w:val="000000"/>
          <w:sz w:val="32"/>
        </w:rPr>
        <w:t>.两区</w:t>
      </w:r>
      <w:r>
        <w:rPr>
          <w:rFonts w:hint="eastAsia" w:ascii="仿宋_GB2312" w:hAnsi="仿宋_GB2312" w:eastAsia="仿宋_GB2312" w:cs="仿宋_GB2312"/>
          <w:color w:val="000000"/>
          <w:sz w:val="32"/>
        </w:rPr>
        <w:t>：国家服务业扩大开放综合示范区和中国（北京）自由贸易试验区。建设国家服务业扩大开放综合示范区和设立以科技创新、服务业开放、数字经济为主要特征的自由贸易试验区，是党中央、国务院着眼于构建以国内大循环为主体、国内国际双循环相互促进的新发展格局，着眼于建设迈向中华民族伟大复兴的社会主义大国首都，作出的重大战略决策。</w:t>
      </w:r>
    </w:p>
    <w:p>
      <w:pPr>
        <w:widowControl w:val="0"/>
        <w:spacing w:line="560" w:lineRule="exact"/>
        <w:ind w:firstLine="643" w:firstLineChars="200"/>
        <w:jc w:val="both"/>
        <w:rPr>
          <w:rFonts w:ascii="仿宋_GB2312" w:hAnsi="仿宋_GB2312" w:eastAsia="仿宋_GB2312" w:cs="仿宋_GB2312"/>
          <w:color w:val="000000"/>
          <w:sz w:val="32"/>
        </w:rPr>
      </w:pPr>
      <w:r>
        <w:rPr>
          <w:rFonts w:ascii="仿宋_GB2312" w:hAnsi="仿宋_GB2312" w:eastAsia="仿宋_GB2312" w:cs="仿宋_GB2312"/>
          <w:b/>
          <w:bCs/>
          <w:color w:val="000000"/>
          <w:sz w:val="32"/>
        </w:rPr>
        <w:t>9</w:t>
      </w:r>
      <w:r>
        <w:rPr>
          <w:rFonts w:hint="eastAsia" w:ascii="仿宋_GB2312" w:hAnsi="仿宋_GB2312" w:eastAsia="仿宋_GB2312" w:cs="仿宋_GB2312"/>
          <w:b/>
          <w:bCs/>
          <w:color w:val="000000"/>
          <w:sz w:val="32"/>
        </w:rPr>
        <w:t>.离岸金融</w:t>
      </w:r>
      <w:r>
        <w:rPr>
          <w:rFonts w:hint="eastAsia" w:ascii="仿宋_GB2312" w:hAnsi="仿宋_GB2312" w:eastAsia="仿宋_GB2312" w:cs="仿宋_GB2312"/>
          <w:color w:val="000000"/>
          <w:sz w:val="32"/>
        </w:rPr>
        <w:t>：是指在高度自由化和国际化金融管理体制和优惠税收制度下，以自由兑换货币为工具，由非居民参与进行的融资业务。</w:t>
      </w:r>
    </w:p>
    <w:p>
      <w:pPr>
        <w:widowControl w:val="0"/>
        <w:spacing w:line="560" w:lineRule="exact"/>
        <w:ind w:firstLine="643"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1</w:t>
      </w:r>
      <w:r>
        <w:rPr>
          <w:rFonts w:ascii="仿宋_GB2312" w:hAnsi="仿宋_GB2312" w:eastAsia="仿宋_GB2312" w:cs="仿宋_GB2312"/>
          <w:b/>
          <w:bCs/>
          <w:color w:val="000000"/>
          <w:sz w:val="32"/>
          <w:szCs w:val="32"/>
        </w:rPr>
        <w:t>0</w:t>
      </w:r>
      <w:r>
        <w:rPr>
          <w:rFonts w:hint="eastAsia" w:ascii="仿宋_GB2312" w:hAnsi="仿宋_GB2312" w:eastAsia="仿宋_GB2312" w:cs="仿宋_GB2312"/>
          <w:b/>
          <w:bCs/>
          <w:color w:val="000000"/>
          <w:sz w:val="32"/>
          <w:szCs w:val="32"/>
        </w:rPr>
        <w:t>.数字货币</w:t>
      </w:r>
      <w:r>
        <w:rPr>
          <w:rFonts w:hint="eastAsia" w:ascii="仿宋_GB2312" w:hAnsi="仿宋_GB2312" w:eastAsia="仿宋_GB2312" w:cs="仿宋_GB2312"/>
          <w:color w:val="000000"/>
          <w:sz w:val="32"/>
          <w:szCs w:val="32"/>
        </w:rPr>
        <w:t>：数字货币是电子货币形式的替代货币 (可用于真实的商品和服务交易), 简单的说就是人民币的电子化，和纸币等价，但比纸币灵活。能够追踪资金流向，不需要网络也能支付。</w:t>
      </w:r>
    </w:p>
    <w:p>
      <w:pPr>
        <w:widowControl w:val="0"/>
        <w:spacing w:line="560" w:lineRule="exact"/>
        <w:ind w:firstLine="643" w:firstLineChars="200"/>
        <w:jc w:val="both"/>
      </w:pPr>
      <w:r>
        <w:rPr>
          <w:rFonts w:hint="eastAsia" w:ascii="仿宋_GB2312" w:hAnsi="仿宋_GB2312" w:eastAsia="仿宋_GB2312" w:cs="仿宋_GB2312"/>
          <w:b/>
          <w:bCs/>
          <w:color w:val="000000"/>
          <w:sz w:val="32"/>
          <w:szCs w:val="32"/>
        </w:rPr>
        <w:t>1</w:t>
      </w:r>
      <w:r>
        <w:rPr>
          <w:rFonts w:ascii="仿宋_GB2312" w:hAnsi="仿宋_GB2312" w:eastAsia="仿宋_GB2312" w:cs="仿宋_GB2312"/>
          <w:b/>
          <w:bCs/>
          <w:color w:val="000000"/>
          <w:sz w:val="32"/>
          <w:szCs w:val="32"/>
        </w:rPr>
        <w:t>1</w:t>
      </w:r>
      <w:r>
        <w:rPr>
          <w:rFonts w:hint="eastAsia" w:ascii="仿宋_GB2312" w:hAnsi="仿宋_GB2312" w:eastAsia="仿宋_GB2312" w:cs="仿宋_GB2312"/>
          <w:b/>
          <w:bCs/>
          <w:color w:val="000000"/>
          <w:sz w:val="32"/>
          <w:szCs w:val="32"/>
        </w:rPr>
        <w:t>.本外币一体化账户</w:t>
      </w:r>
      <w:r>
        <w:rPr>
          <w:rFonts w:hint="eastAsia" w:ascii="仿宋_GB2312" w:hAnsi="仿宋_GB2312" w:eastAsia="仿宋_GB2312" w:cs="仿宋_GB2312"/>
          <w:color w:val="000000"/>
          <w:sz w:val="32"/>
          <w:szCs w:val="32"/>
        </w:rPr>
        <w:t>：境内主体和境外主体在我国境内开立的人民币银行账户以及外汇银行账户实行统一设置和管理。</w:t>
      </w:r>
    </w:p>
    <w:sectPr>
      <w:footerReference r:id="rId5" w:type="default"/>
      <w:footerReference r:id="rId6" w:type="even"/>
      <w:pgSz w:w="11900" w:h="16840"/>
      <w:pgMar w:top="1440" w:right="1800" w:bottom="1440" w:left="1800" w:header="851" w:footer="992" w:gutter="0"/>
      <w:pgNumType w:fmt="numberInDash" w:start="1"/>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- 7 -</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oqOYQAgAACQQAAA4AAABkcnMvZTJvRG9jLnhtbK1TzY7TMBC+I/EO&#10;lu80aRFL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rKKjmEAIAAAkEAAAOAAAAAAAAAAEAIAAA&#10;AB8BAABkcnMvZTJvRG9jLnhtbFBLBQYAAAAABgAGAFkBAAChBQAAAAA=&#10;">
              <v:fill on="f" focussize="0,0"/>
              <v:stroke on="f" weight="0.5pt"/>
              <v:imagedata o:title=""/>
              <o:lock v:ext="edit" aspectratio="f"/>
              <v:textbox inset="0mm,0mm,0mm,0mm" style="mso-fit-shape-to-text:t;">
                <w:txbxContent>
                  <w:p>
                    <w:pPr>
                      <w:snapToGrid w:val="0"/>
                      <w:rPr>
                        <w:rFonts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- 7 -</w:t>
                    </w:r>
                    <w:r>
                      <w:rPr>
                        <w:rFonts w:hint="eastAsia" w:ascii="仿宋_GB2312" w:hAnsi="仿宋_GB2312" w:eastAsia="仿宋_GB2312" w:cs="仿宋_GB2312"/>
                        <w:sz w:val="32"/>
                        <w:szCs w:val="32"/>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- 6 -</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GpaJMP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DGpaJMPAgAACQQAAA4AAAAAAAAAAQAgAAAA&#10;HwEAAGRycy9lMm9Eb2MueG1sUEsFBgAAAAAGAAYAWQEAAKAFAAAAAA==&#10;">
              <v:fill on="f" focussize="0,0"/>
              <v:stroke on="f" weight="0.5pt"/>
              <v:imagedata o:title=""/>
              <o:lock v:ext="edit" aspectratio="f"/>
              <v:textbox inset="0mm,0mm,0mm,0mm" style="mso-fit-shape-to-text:t;">
                <w:txbxContent>
                  <w:p>
                    <w:pPr>
                      <w:snapToGrid w:val="0"/>
                      <w:rPr>
                        <w:rFonts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- 6 -</w:t>
                    </w:r>
                    <w:r>
                      <w:rPr>
                        <w:rFonts w:hint="eastAsia" w:ascii="仿宋_GB2312" w:hAnsi="仿宋_GB2312" w:eastAsia="仿宋_GB2312" w:cs="仿宋_GB2312"/>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3F1A"/>
    <w:multiLevelType w:val="singleLevel"/>
    <w:tmpl w:val="01083F1A"/>
    <w:lvl w:ilvl="0" w:tentative="0">
      <w:start w:val="1"/>
      <w:numFmt w:val="chineseCounting"/>
      <w:suff w:val="nothing"/>
      <w:lvlText w:val="（%1）"/>
      <w:lvlJc w:val="left"/>
      <w:pPr>
        <w:ind w:left="0" w:firstLine="420"/>
      </w:pPr>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4FD"/>
    <w:rsid w:val="000051C5"/>
    <w:rsid w:val="000102D7"/>
    <w:rsid w:val="000125ED"/>
    <w:rsid w:val="000146DC"/>
    <w:rsid w:val="00025E38"/>
    <w:rsid w:val="00026B76"/>
    <w:rsid w:val="00042057"/>
    <w:rsid w:val="00047F54"/>
    <w:rsid w:val="00052998"/>
    <w:rsid w:val="00062139"/>
    <w:rsid w:val="00063FBF"/>
    <w:rsid w:val="00064289"/>
    <w:rsid w:val="000651A7"/>
    <w:rsid w:val="0007399F"/>
    <w:rsid w:val="000859E7"/>
    <w:rsid w:val="0008702A"/>
    <w:rsid w:val="00090193"/>
    <w:rsid w:val="000B10B1"/>
    <w:rsid w:val="000B46DA"/>
    <w:rsid w:val="000D34E7"/>
    <w:rsid w:val="000D77D6"/>
    <w:rsid w:val="000E230C"/>
    <w:rsid w:val="000E703C"/>
    <w:rsid w:val="000F6F59"/>
    <w:rsid w:val="000F7397"/>
    <w:rsid w:val="0010323F"/>
    <w:rsid w:val="00106DC3"/>
    <w:rsid w:val="00114C6A"/>
    <w:rsid w:val="00116AD3"/>
    <w:rsid w:val="00117AA3"/>
    <w:rsid w:val="00120757"/>
    <w:rsid w:val="00121CEF"/>
    <w:rsid w:val="00124309"/>
    <w:rsid w:val="00136925"/>
    <w:rsid w:val="00136BD6"/>
    <w:rsid w:val="00141FF0"/>
    <w:rsid w:val="001420B9"/>
    <w:rsid w:val="00144111"/>
    <w:rsid w:val="001450E3"/>
    <w:rsid w:val="00146D4F"/>
    <w:rsid w:val="001513D2"/>
    <w:rsid w:val="0015722D"/>
    <w:rsid w:val="001617FA"/>
    <w:rsid w:val="0016461B"/>
    <w:rsid w:val="00166DB5"/>
    <w:rsid w:val="00172A27"/>
    <w:rsid w:val="00172B39"/>
    <w:rsid w:val="00190386"/>
    <w:rsid w:val="00193907"/>
    <w:rsid w:val="001A0267"/>
    <w:rsid w:val="001A201C"/>
    <w:rsid w:val="001B2403"/>
    <w:rsid w:val="001B351A"/>
    <w:rsid w:val="001B4ECB"/>
    <w:rsid w:val="001B6D96"/>
    <w:rsid w:val="001C4D40"/>
    <w:rsid w:val="001D749F"/>
    <w:rsid w:val="0021722F"/>
    <w:rsid w:val="00221C75"/>
    <w:rsid w:val="00221F62"/>
    <w:rsid w:val="00222CA3"/>
    <w:rsid w:val="00224955"/>
    <w:rsid w:val="00224C3A"/>
    <w:rsid w:val="00235143"/>
    <w:rsid w:val="0023677B"/>
    <w:rsid w:val="002375EA"/>
    <w:rsid w:val="00242B5F"/>
    <w:rsid w:val="002466E6"/>
    <w:rsid w:val="00247B7E"/>
    <w:rsid w:val="00251B8D"/>
    <w:rsid w:val="00262492"/>
    <w:rsid w:val="00263983"/>
    <w:rsid w:val="002728E9"/>
    <w:rsid w:val="00275F41"/>
    <w:rsid w:val="002815C7"/>
    <w:rsid w:val="002A24DA"/>
    <w:rsid w:val="002A45CB"/>
    <w:rsid w:val="002A6630"/>
    <w:rsid w:val="002A6902"/>
    <w:rsid w:val="002B05C4"/>
    <w:rsid w:val="002B1C96"/>
    <w:rsid w:val="002B7D65"/>
    <w:rsid w:val="002C45E0"/>
    <w:rsid w:val="002C4DBC"/>
    <w:rsid w:val="002E0691"/>
    <w:rsid w:val="002E6B97"/>
    <w:rsid w:val="002F1FD1"/>
    <w:rsid w:val="002F4EBF"/>
    <w:rsid w:val="003071A0"/>
    <w:rsid w:val="00322D37"/>
    <w:rsid w:val="00325E72"/>
    <w:rsid w:val="0033677D"/>
    <w:rsid w:val="00343E63"/>
    <w:rsid w:val="0034566F"/>
    <w:rsid w:val="0035298B"/>
    <w:rsid w:val="003623C9"/>
    <w:rsid w:val="0036422F"/>
    <w:rsid w:val="003730D6"/>
    <w:rsid w:val="00390B0E"/>
    <w:rsid w:val="003A0AC7"/>
    <w:rsid w:val="003A244D"/>
    <w:rsid w:val="003A6533"/>
    <w:rsid w:val="003A7076"/>
    <w:rsid w:val="003B0AF2"/>
    <w:rsid w:val="003B2572"/>
    <w:rsid w:val="003B50CE"/>
    <w:rsid w:val="003C3610"/>
    <w:rsid w:val="003C438C"/>
    <w:rsid w:val="003D5B1E"/>
    <w:rsid w:val="003E696B"/>
    <w:rsid w:val="003E6D06"/>
    <w:rsid w:val="003E79C0"/>
    <w:rsid w:val="003F4EE0"/>
    <w:rsid w:val="00407B63"/>
    <w:rsid w:val="00417957"/>
    <w:rsid w:val="0042325B"/>
    <w:rsid w:val="00441D71"/>
    <w:rsid w:val="00450D9C"/>
    <w:rsid w:val="00457C0B"/>
    <w:rsid w:val="00461D8A"/>
    <w:rsid w:val="0049110B"/>
    <w:rsid w:val="00492496"/>
    <w:rsid w:val="004A2D7A"/>
    <w:rsid w:val="004D0979"/>
    <w:rsid w:val="004E5992"/>
    <w:rsid w:val="004E7604"/>
    <w:rsid w:val="004F20D8"/>
    <w:rsid w:val="005050C3"/>
    <w:rsid w:val="00505A1D"/>
    <w:rsid w:val="0052223B"/>
    <w:rsid w:val="005264BB"/>
    <w:rsid w:val="00542BD5"/>
    <w:rsid w:val="005442B8"/>
    <w:rsid w:val="00544D80"/>
    <w:rsid w:val="0054610D"/>
    <w:rsid w:val="00551A00"/>
    <w:rsid w:val="005630E2"/>
    <w:rsid w:val="00567176"/>
    <w:rsid w:val="00567D08"/>
    <w:rsid w:val="0057316E"/>
    <w:rsid w:val="00583469"/>
    <w:rsid w:val="0058588A"/>
    <w:rsid w:val="005908DB"/>
    <w:rsid w:val="00594473"/>
    <w:rsid w:val="005A7CA9"/>
    <w:rsid w:val="005B79A6"/>
    <w:rsid w:val="005C1D2A"/>
    <w:rsid w:val="005C7AFF"/>
    <w:rsid w:val="005D5D36"/>
    <w:rsid w:val="005D739A"/>
    <w:rsid w:val="005D74FA"/>
    <w:rsid w:val="005E3039"/>
    <w:rsid w:val="005E5FF3"/>
    <w:rsid w:val="005E6C95"/>
    <w:rsid w:val="005F04B8"/>
    <w:rsid w:val="00604428"/>
    <w:rsid w:val="00606278"/>
    <w:rsid w:val="00612E4D"/>
    <w:rsid w:val="006145F3"/>
    <w:rsid w:val="006166BF"/>
    <w:rsid w:val="0061679A"/>
    <w:rsid w:val="006220D8"/>
    <w:rsid w:val="00631457"/>
    <w:rsid w:val="0063220E"/>
    <w:rsid w:val="006411A5"/>
    <w:rsid w:val="00641378"/>
    <w:rsid w:val="006424AE"/>
    <w:rsid w:val="0065214E"/>
    <w:rsid w:val="00652BE8"/>
    <w:rsid w:val="00652D8C"/>
    <w:rsid w:val="00654C6F"/>
    <w:rsid w:val="00664E62"/>
    <w:rsid w:val="00674DF0"/>
    <w:rsid w:val="00675272"/>
    <w:rsid w:val="00675C1C"/>
    <w:rsid w:val="006811DA"/>
    <w:rsid w:val="006B097D"/>
    <w:rsid w:val="006B305A"/>
    <w:rsid w:val="006B4ABB"/>
    <w:rsid w:val="006C0FE1"/>
    <w:rsid w:val="006C4F37"/>
    <w:rsid w:val="006D2DB8"/>
    <w:rsid w:val="006D7F88"/>
    <w:rsid w:val="006F10F0"/>
    <w:rsid w:val="007022E8"/>
    <w:rsid w:val="00707B5F"/>
    <w:rsid w:val="007325EF"/>
    <w:rsid w:val="00737A36"/>
    <w:rsid w:val="007401BE"/>
    <w:rsid w:val="0074229F"/>
    <w:rsid w:val="00745F20"/>
    <w:rsid w:val="0074681B"/>
    <w:rsid w:val="007475E2"/>
    <w:rsid w:val="00750696"/>
    <w:rsid w:val="00750D5E"/>
    <w:rsid w:val="00753B9A"/>
    <w:rsid w:val="00762257"/>
    <w:rsid w:val="00773347"/>
    <w:rsid w:val="007805E6"/>
    <w:rsid w:val="0078668D"/>
    <w:rsid w:val="007965EE"/>
    <w:rsid w:val="007A35BB"/>
    <w:rsid w:val="007B1887"/>
    <w:rsid w:val="007B518C"/>
    <w:rsid w:val="007C2C78"/>
    <w:rsid w:val="007C4ACE"/>
    <w:rsid w:val="007C5E7D"/>
    <w:rsid w:val="007C6EDF"/>
    <w:rsid w:val="007C6F36"/>
    <w:rsid w:val="007D0DEA"/>
    <w:rsid w:val="007E7AD9"/>
    <w:rsid w:val="00832290"/>
    <w:rsid w:val="00832FD2"/>
    <w:rsid w:val="00833BCF"/>
    <w:rsid w:val="008340F3"/>
    <w:rsid w:val="00836DF7"/>
    <w:rsid w:val="0084558E"/>
    <w:rsid w:val="0085344C"/>
    <w:rsid w:val="008724E3"/>
    <w:rsid w:val="0089522E"/>
    <w:rsid w:val="00895876"/>
    <w:rsid w:val="00897FE3"/>
    <w:rsid w:val="008A41CE"/>
    <w:rsid w:val="008A6FC5"/>
    <w:rsid w:val="008B7A3C"/>
    <w:rsid w:val="008C5534"/>
    <w:rsid w:val="008C627F"/>
    <w:rsid w:val="008C6991"/>
    <w:rsid w:val="008D7698"/>
    <w:rsid w:val="008E2E00"/>
    <w:rsid w:val="008E7E1E"/>
    <w:rsid w:val="008F3994"/>
    <w:rsid w:val="0092451B"/>
    <w:rsid w:val="00925D01"/>
    <w:rsid w:val="00932D7F"/>
    <w:rsid w:val="009370E6"/>
    <w:rsid w:val="009439CA"/>
    <w:rsid w:val="009441A0"/>
    <w:rsid w:val="00951D18"/>
    <w:rsid w:val="00952F44"/>
    <w:rsid w:val="00953FBA"/>
    <w:rsid w:val="00955EA5"/>
    <w:rsid w:val="00962BC2"/>
    <w:rsid w:val="00977593"/>
    <w:rsid w:val="00990BCC"/>
    <w:rsid w:val="00992A86"/>
    <w:rsid w:val="00994BD9"/>
    <w:rsid w:val="009A57B4"/>
    <w:rsid w:val="009C10CE"/>
    <w:rsid w:val="009C166D"/>
    <w:rsid w:val="009D1A61"/>
    <w:rsid w:val="009D5F29"/>
    <w:rsid w:val="009D6368"/>
    <w:rsid w:val="009E452F"/>
    <w:rsid w:val="009E4781"/>
    <w:rsid w:val="009E5603"/>
    <w:rsid w:val="009E6755"/>
    <w:rsid w:val="009E7BC0"/>
    <w:rsid w:val="009F23FC"/>
    <w:rsid w:val="009F5022"/>
    <w:rsid w:val="009F7475"/>
    <w:rsid w:val="00A02BE8"/>
    <w:rsid w:val="00A05384"/>
    <w:rsid w:val="00A107BC"/>
    <w:rsid w:val="00A16D73"/>
    <w:rsid w:val="00A21382"/>
    <w:rsid w:val="00A23DF9"/>
    <w:rsid w:val="00A30EDD"/>
    <w:rsid w:val="00A371A4"/>
    <w:rsid w:val="00A57700"/>
    <w:rsid w:val="00A70598"/>
    <w:rsid w:val="00A83320"/>
    <w:rsid w:val="00A95CA2"/>
    <w:rsid w:val="00AA10F0"/>
    <w:rsid w:val="00AA1FD3"/>
    <w:rsid w:val="00AB3E33"/>
    <w:rsid w:val="00AB56CF"/>
    <w:rsid w:val="00AD6EE4"/>
    <w:rsid w:val="00AE1A5D"/>
    <w:rsid w:val="00AE224F"/>
    <w:rsid w:val="00B00271"/>
    <w:rsid w:val="00B02826"/>
    <w:rsid w:val="00B15275"/>
    <w:rsid w:val="00B22434"/>
    <w:rsid w:val="00B25559"/>
    <w:rsid w:val="00B25729"/>
    <w:rsid w:val="00B32DC0"/>
    <w:rsid w:val="00B3589B"/>
    <w:rsid w:val="00B55719"/>
    <w:rsid w:val="00B55A50"/>
    <w:rsid w:val="00B5677C"/>
    <w:rsid w:val="00B66657"/>
    <w:rsid w:val="00B8497E"/>
    <w:rsid w:val="00B863DB"/>
    <w:rsid w:val="00B951E1"/>
    <w:rsid w:val="00BA2432"/>
    <w:rsid w:val="00BA3D49"/>
    <w:rsid w:val="00BA5DEE"/>
    <w:rsid w:val="00BB56A7"/>
    <w:rsid w:val="00BE1291"/>
    <w:rsid w:val="00BE12D2"/>
    <w:rsid w:val="00BE4C93"/>
    <w:rsid w:val="00BF1D1C"/>
    <w:rsid w:val="00BF3996"/>
    <w:rsid w:val="00C011DC"/>
    <w:rsid w:val="00C064BF"/>
    <w:rsid w:val="00C2024E"/>
    <w:rsid w:val="00C21EDE"/>
    <w:rsid w:val="00C23EBF"/>
    <w:rsid w:val="00C24EA5"/>
    <w:rsid w:val="00C32E78"/>
    <w:rsid w:val="00C43D48"/>
    <w:rsid w:val="00C4741F"/>
    <w:rsid w:val="00C52E13"/>
    <w:rsid w:val="00C5394D"/>
    <w:rsid w:val="00C63680"/>
    <w:rsid w:val="00C65E7E"/>
    <w:rsid w:val="00C823CB"/>
    <w:rsid w:val="00C846E0"/>
    <w:rsid w:val="00C84D15"/>
    <w:rsid w:val="00C91BA7"/>
    <w:rsid w:val="00C97720"/>
    <w:rsid w:val="00CA1470"/>
    <w:rsid w:val="00CC1323"/>
    <w:rsid w:val="00CC6053"/>
    <w:rsid w:val="00CE4F49"/>
    <w:rsid w:val="00CF3960"/>
    <w:rsid w:val="00D0288E"/>
    <w:rsid w:val="00D10F78"/>
    <w:rsid w:val="00D1721B"/>
    <w:rsid w:val="00D2108C"/>
    <w:rsid w:val="00D24F8E"/>
    <w:rsid w:val="00D468E2"/>
    <w:rsid w:val="00D5022A"/>
    <w:rsid w:val="00D544E0"/>
    <w:rsid w:val="00D64433"/>
    <w:rsid w:val="00D65C3B"/>
    <w:rsid w:val="00D7105A"/>
    <w:rsid w:val="00D71A21"/>
    <w:rsid w:val="00D744E1"/>
    <w:rsid w:val="00D928F9"/>
    <w:rsid w:val="00D93333"/>
    <w:rsid w:val="00D9457C"/>
    <w:rsid w:val="00D97222"/>
    <w:rsid w:val="00D97502"/>
    <w:rsid w:val="00DA0304"/>
    <w:rsid w:val="00DA3DDF"/>
    <w:rsid w:val="00DB02AB"/>
    <w:rsid w:val="00DB0B21"/>
    <w:rsid w:val="00DB22EB"/>
    <w:rsid w:val="00DB2471"/>
    <w:rsid w:val="00DD0321"/>
    <w:rsid w:val="00DD04B2"/>
    <w:rsid w:val="00DD69C5"/>
    <w:rsid w:val="00DE2F6B"/>
    <w:rsid w:val="00DE440E"/>
    <w:rsid w:val="00DE67FE"/>
    <w:rsid w:val="00DE7AFF"/>
    <w:rsid w:val="00DF2E89"/>
    <w:rsid w:val="00DF55D1"/>
    <w:rsid w:val="00DF7602"/>
    <w:rsid w:val="00E037CD"/>
    <w:rsid w:val="00E131A5"/>
    <w:rsid w:val="00E33D37"/>
    <w:rsid w:val="00E379BF"/>
    <w:rsid w:val="00E50317"/>
    <w:rsid w:val="00E577C3"/>
    <w:rsid w:val="00E72341"/>
    <w:rsid w:val="00E7416F"/>
    <w:rsid w:val="00E7556F"/>
    <w:rsid w:val="00E75874"/>
    <w:rsid w:val="00E77E8E"/>
    <w:rsid w:val="00E9054B"/>
    <w:rsid w:val="00E91586"/>
    <w:rsid w:val="00E92CF8"/>
    <w:rsid w:val="00E96744"/>
    <w:rsid w:val="00EA0FFD"/>
    <w:rsid w:val="00EA562A"/>
    <w:rsid w:val="00EA737A"/>
    <w:rsid w:val="00EB0B3F"/>
    <w:rsid w:val="00EB649A"/>
    <w:rsid w:val="00EC1B9C"/>
    <w:rsid w:val="00EC2FAF"/>
    <w:rsid w:val="00EC3FA9"/>
    <w:rsid w:val="00EC408A"/>
    <w:rsid w:val="00EC466A"/>
    <w:rsid w:val="00EC4753"/>
    <w:rsid w:val="00ED607A"/>
    <w:rsid w:val="00EE3ECD"/>
    <w:rsid w:val="00EE61B4"/>
    <w:rsid w:val="00EF0AF9"/>
    <w:rsid w:val="00EF237A"/>
    <w:rsid w:val="00F00C52"/>
    <w:rsid w:val="00F02E84"/>
    <w:rsid w:val="00F126C1"/>
    <w:rsid w:val="00F1664E"/>
    <w:rsid w:val="00F20592"/>
    <w:rsid w:val="00F20A4C"/>
    <w:rsid w:val="00F24C76"/>
    <w:rsid w:val="00F25F24"/>
    <w:rsid w:val="00F27DE8"/>
    <w:rsid w:val="00F307FA"/>
    <w:rsid w:val="00F56115"/>
    <w:rsid w:val="00F71BCE"/>
    <w:rsid w:val="00F7209A"/>
    <w:rsid w:val="00F74B6B"/>
    <w:rsid w:val="00F7724B"/>
    <w:rsid w:val="00F82DEE"/>
    <w:rsid w:val="00F90C45"/>
    <w:rsid w:val="00F927DD"/>
    <w:rsid w:val="00F92AE4"/>
    <w:rsid w:val="00FA07B1"/>
    <w:rsid w:val="00FA100A"/>
    <w:rsid w:val="00FA1585"/>
    <w:rsid w:val="00FC798D"/>
    <w:rsid w:val="00FD556B"/>
    <w:rsid w:val="00FD78CD"/>
    <w:rsid w:val="00FE1F75"/>
    <w:rsid w:val="00FE7FB2"/>
    <w:rsid w:val="00FF3CEB"/>
    <w:rsid w:val="00FF567F"/>
    <w:rsid w:val="00FF7460"/>
    <w:rsid w:val="01052362"/>
    <w:rsid w:val="012E5976"/>
    <w:rsid w:val="013631D5"/>
    <w:rsid w:val="0152286B"/>
    <w:rsid w:val="019F69DF"/>
    <w:rsid w:val="01CC4ED9"/>
    <w:rsid w:val="0254459D"/>
    <w:rsid w:val="027B0E5A"/>
    <w:rsid w:val="028513A9"/>
    <w:rsid w:val="02E4609F"/>
    <w:rsid w:val="02FC1B4B"/>
    <w:rsid w:val="03043081"/>
    <w:rsid w:val="030E7784"/>
    <w:rsid w:val="031822D0"/>
    <w:rsid w:val="03540E0E"/>
    <w:rsid w:val="03556A03"/>
    <w:rsid w:val="03561D2F"/>
    <w:rsid w:val="0361445A"/>
    <w:rsid w:val="038701AE"/>
    <w:rsid w:val="03C92F82"/>
    <w:rsid w:val="03D0448F"/>
    <w:rsid w:val="04045160"/>
    <w:rsid w:val="04286945"/>
    <w:rsid w:val="044A21F4"/>
    <w:rsid w:val="045233D8"/>
    <w:rsid w:val="045536BE"/>
    <w:rsid w:val="045A3EF5"/>
    <w:rsid w:val="04651C45"/>
    <w:rsid w:val="04732D7E"/>
    <w:rsid w:val="047C5006"/>
    <w:rsid w:val="048001AA"/>
    <w:rsid w:val="0498106A"/>
    <w:rsid w:val="04B73381"/>
    <w:rsid w:val="04D756AF"/>
    <w:rsid w:val="04D929A9"/>
    <w:rsid w:val="04EF2222"/>
    <w:rsid w:val="04F22B56"/>
    <w:rsid w:val="04F53620"/>
    <w:rsid w:val="05273969"/>
    <w:rsid w:val="053D3167"/>
    <w:rsid w:val="05964DE1"/>
    <w:rsid w:val="05A51AF1"/>
    <w:rsid w:val="062F1068"/>
    <w:rsid w:val="064B6C70"/>
    <w:rsid w:val="06683982"/>
    <w:rsid w:val="067067F8"/>
    <w:rsid w:val="0678260E"/>
    <w:rsid w:val="067B26B5"/>
    <w:rsid w:val="06A76FE1"/>
    <w:rsid w:val="06AE7CE5"/>
    <w:rsid w:val="06B3046D"/>
    <w:rsid w:val="06B71C5C"/>
    <w:rsid w:val="06BA1B78"/>
    <w:rsid w:val="06CD20C5"/>
    <w:rsid w:val="06D34EA0"/>
    <w:rsid w:val="06FB4B96"/>
    <w:rsid w:val="07291B02"/>
    <w:rsid w:val="07343F39"/>
    <w:rsid w:val="073A05D7"/>
    <w:rsid w:val="073C2144"/>
    <w:rsid w:val="076B3CA2"/>
    <w:rsid w:val="077D2685"/>
    <w:rsid w:val="07B44CB1"/>
    <w:rsid w:val="07E2793F"/>
    <w:rsid w:val="08194846"/>
    <w:rsid w:val="085B6CAA"/>
    <w:rsid w:val="08764887"/>
    <w:rsid w:val="087E728B"/>
    <w:rsid w:val="087F02DD"/>
    <w:rsid w:val="08877071"/>
    <w:rsid w:val="08BC5770"/>
    <w:rsid w:val="08BE33E4"/>
    <w:rsid w:val="08C12C53"/>
    <w:rsid w:val="08C17EDA"/>
    <w:rsid w:val="08E2650D"/>
    <w:rsid w:val="090675C6"/>
    <w:rsid w:val="09082B80"/>
    <w:rsid w:val="090F708A"/>
    <w:rsid w:val="091C0BAA"/>
    <w:rsid w:val="094668D4"/>
    <w:rsid w:val="09555BE0"/>
    <w:rsid w:val="09646C45"/>
    <w:rsid w:val="09DE307C"/>
    <w:rsid w:val="09F656F5"/>
    <w:rsid w:val="0A5F7CD4"/>
    <w:rsid w:val="0A86157F"/>
    <w:rsid w:val="0A9B30C1"/>
    <w:rsid w:val="0AB217DC"/>
    <w:rsid w:val="0ACD5F6E"/>
    <w:rsid w:val="0B1F135B"/>
    <w:rsid w:val="0B5B6836"/>
    <w:rsid w:val="0BFE12E9"/>
    <w:rsid w:val="0C361FEB"/>
    <w:rsid w:val="0C482276"/>
    <w:rsid w:val="0C564E1A"/>
    <w:rsid w:val="0C5B2835"/>
    <w:rsid w:val="0C800702"/>
    <w:rsid w:val="0CF901B4"/>
    <w:rsid w:val="0D1229FD"/>
    <w:rsid w:val="0D347240"/>
    <w:rsid w:val="0D574473"/>
    <w:rsid w:val="0D5C556A"/>
    <w:rsid w:val="0D7B1803"/>
    <w:rsid w:val="0D8C163B"/>
    <w:rsid w:val="0DB21486"/>
    <w:rsid w:val="0DC73C93"/>
    <w:rsid w:val="0DDF4B42"/>
    <w:rsid w:val="0DEB6C92"/>
    <w:rsid w:val="0E712004"/>
    <w:rsid w:val="0E971A37"/>
    <w:rsid w:val="0EFC4F34"/>
    <w:rsid w:val="0F093129"/>
    <w:rsid w:val="0F0D43A3"/>
    <w:rsid w:val="0F1B2E65"/>
    <w:rsid w:val="0F4B5B53"/>
    <w:rsid w:val="0F607654"/>
    <w:rsid w:val="0F7D14A8"/>
    <w:rsid w:val="0F9D6E2A"/>
    <w:rsid w:val="0FA575C5"/>
    <w:rsid w:val="0FAB0C5A"/>
    <w:rsid w:val="0FAC28B6"/>
    <w:rsid w:val="0FB30091"/>
    <w:rsid w:val="0FEE5344"/>
    <w:rsid w:val="1001507C"/>
    <w:rsid w:val="10084198"/>
    <w:rsid w:val="103B2E2F"/>
    <w:rsid w:val="10BD1008"/>
    <w:rsid w:val="11181C0D"/>
    <w:rsid w:val="113C2DA8"/>
    <w:rsid w:val="11533F45"/>
    <w:rsid w:val="115455FC"/>
    <w:rsid w:val="119C0645"/>
    <w:rsid w:val="11AE4C50"/>
    <w:rsid w:val="11C22584"/>
    <w:rsid w:val="11D171BD"/>
    <w:rsid w:val="1235633B"/>
    <w:rsid w:val="1241752B"/>
    <w:rsid w:val="1247447A"/>
    <w:rsid w:val="1281022C"/>
    <w:rsid w:val="129D29CB"/>
    <w:rsid w:val="12A1776D"/>
    <w:rsid w:val="12B25D13"/>
    <w:rsid w:val="12EF4ACD"/>
    <w:rsid w:val="131E1225"/>
    <w:rsid w:val="132B0140"/>
    <w:rsid w:val="134640BB"/>
    <w:rsid w:val="135A548E"/>
    <w:rsid w:val="13642DDD"/>
    <w:rsid w:val="137B2481"/>
    <w:rsid w:val="13862512"/>
    <w:rsid w:val="13884D80"/>
    <w:rsid w:val="139D36C0"/>
    <w:rsid w:val="139E3255"/>
    <w:rsid w:val="144B1E51"/>
    <w:rsid w:val="145C2278"/>
    <w:rsid w:val="14944561"/>
    <w:rsid w:val="14C733D5"/>
    <w:rsid w:val="14E507C6"/>
    <w:rsid w:val="151809C9"/>
    <w:rsid w:val="152B0AFE"/>
    <w:rsid w:val="159B12C4"/>
    <w:rsid w:val="15A66F53"/>
    <w:rsid w:val="15AE63A5"/>
    <w:rsid w:val="15F87F8E"/>
    <w:rsid w:val="15FF0088"/>
    <w:rsid w:val="1616684D"/>
    <w:rsid w:val="169D4D89"/>
    <w:rsid w:val="16C2089F"/>
    <w:rsid w:val="16CD1C50"/>
    <w:rsid w:val="16CE2276"/>
    <w:rsid w:val="16E8109D"/>
    <w:rsid w:val="173D634A"/>
    <w:rsid w:val="176115D9"/>
    <w:rsid w:val="17AC41BF"/>
    <w:rsid w:val="17AD444B"/>
    <w:rsid w:val="17AE0A5E"/>
    <w:rsid w:val="17AF31CF"/>
    <w:rsid w:val="17BA3549"/>
    <w:rsid w:val="17CF2C6F"/>
    <w:rsid w:val="17E04394"/>
    <w:rsid w:val="18015AD8"/>
    <w:rsid w:val="182226E4"/>
    <w:rsid w:val="18272B60"/>
    <w:rsid w:val="186971E7"/>
    <w:rsid w:val="188148AE"/>
    <w:rsid w:val="18870AF0"/>
    <w:rsid w:val="188C7A80"/>
    <w:rsid w:val="18BE796F"/>
    <w:rsid w:val="18E81DA9"/>
    <w:rsid w:val="18FF2E7F"/>
    <w:rsid w:val="192746B4"/>
    <w:rsid w:val="19592F93"/>
    <w:rsid w:val="19593258"/>
    <w:rsid w:val="19621F74"/>
    <w:rsid w:val="19677E32"/>
    <w:rsid w:val="197266EA"/>
    <w:rsid w:val="198D36CE"/>
    <w:rsid w:val="19BC065B"/>
    <w:rsid w:val="19C9446B"/>
    <w:rsid w:val="19DF438D"/>
    <w:rsid w:val="19F62BB7"/>
    <w:rsid w:val="19F767FC"/>
    <w:rsid w:val="19FB1417"/>
    <w:rsid w:val="1A152E1E"/>
    <w:rsid w:val="1A2B1BBB"/>
    <w:rsid w:val="1A491759"/>
    <w:rsid w:val="1A51721A"/>
    <w:rsid w:val="1A5D0DA4"/>
    <w:rsid w:val="1A660C6C"/>
    <w:rsid w:val="1A696014"/>
    <w:rsid w:val="1A6C0198"/>
    <w:rsid w:val="1A8B34A4"/>
    <w:rsid w:val="1A9009BD"/>
    <w:rsid w:val="1A951568"/>
    <w:rsid w:val="1A9C6D62"/>
    <w:rsid w:val="1AE643BF"/>
    <w:rsid w:val="1AE84080"/>
    <w:rsid w:val="1B123485"/>
    <w:rsid w:val="1B183D04"/>
    <w:rsid w:val="1B2A6B3E"/>
    <w:rsid w:val="1B3C0DC9"/>
    <w:rsid w:val="1BA738AE"/>
    <w:rsid w:val="1BC57DB4"/>
    <w:rsid w:val="1C0D555A"/>
    <w:rsid w:val="1C4075C8"/>
    <w:rsid w:val="1C771436"/>
    <w:rsid w:val="1C773CED"/>
    <w:rsid w:val="1CE22C38"/>
    <w:rsid w:val="1CE32ADA"/>
    <w:rsid w:val="1CEC7E01"/>
    <w:rsid w:val="1D7D7140"/>
    <w:rsid w:val="1D9B068E"/>
    <w:rsid w:val="1DA51B3A"/>
    <w:rsid w:val="1DB81C09"/>
    <w:rsid w:val="1DC53368"/>
    <w:rsid w:val="1DF84F6C"/>
    <w:rsid w:val="1DFF23DF"/>
    <w:rsid w:val="1E2A0292"/>
    <w:rsid w:val="1E38295F"/>
    <w:rsid w:val="1E4E527D"/>
    <w:rsid w:val="1E506D4B"/>
    <w:rsid w:val="1ED5541F"/>
    <w:rsid w:val="1F2D46CC"/>
    <w:rsid w:val="1F3E54FD"/>
    <w:rsid w:val="1F4837DC"/>
    <w:rsid w:val="1F5C0AC0"/>
    <w:rsid w:val="1F854428"/>
    <w:rsid w:val="1F911B42"/>
    <w:rsid w:val="1F9C3A82"/>
    <w:rsid w:val="1F9F6DAA"/>
    <w:rsid w:val="1FB90DB8"/>
    <w:rsid w:val="1FC26CE6"/>
    <w:rsid w:val="1FE52D63"/>
    <w:rsid w:val="1FE61E4E"/>
    <w:rsid w:val="20242FA6"/>
    <w:rsid w:val="2075761E"/>
    <w:rsid w:val="21134D07"/>
    <w:rsid w:val="21442512"/>
    <w:rsid w:val="214F6380"/>
    <w:rsid w:val="217A5C2F"/>
    <w:rsid w:val="21A67F9A"/>
    <w:rsid w:val="21CA1F0F"/>
    <w:rsid w:val="21DE3703"/>
    <w:rsid w:val="21EF1B51"/>
    <w:rsid w:val="221823CF"/>
    <w:rsid w:val="22802153"/>
    <w:rsid w:val="22F2273F"/>
    <w:rsid w:val="231F4995"/>
    <w:rsid w:val="233A40E1"/>
    <w:rsid w:val="23654F1A"/>
    <w:rsid w:val="23B66A75"/>
    <w:rsid w:val="23CB1B98"/>
    <w:rsid w:val="23F3025F"/>
    <w:rsid w:val="23FC7FBE"/>
    <w:rsid w:val="24017F74"/>
    <w:rsid w:val="24460234"/>
    <w:rsid w:val="2463160A"/>
    <w:rsid w:val="248C41C0"/>
    <w:rsid w:val="25126562"/>
    <w:rsid w:val="25402469"/>
    <w:rsid w:val="256A11C7"/>
    <w:rsid w:val="256B76F6"/>
    <w:rsid w:val="256F7D24"/>
    <w:rsid w:val="25A912EF"/>
    <w:rsid w:val="25B7375B"/>
    <w:rsid w:val="25C553BD"/>
    <w:rsid w:val="25DD1763"/>
    <w:rsid w:val="25E11924"/>
    <w:rsid w:val="2648167E"/>
    <w:rsid w:val="266C33C4"/>
    <w:rsid w:val="266D6BEC"/>
    <w:rsid w:val="268203D7"/>
    <w:rsid w:val="268C5CBD"/>
    <w:rsid w:val="269C6B8B"/>
    <w:rsid w:val="269E2588"/>
    <w:rsid w:val="26C339D5"/>
    <w:rsid w:val="26D76B26"/>
    <w:rsid w:val="26F74850"/>
    <w:rsid w:val="26FA2A3E"/>
    <w:rsid w:val="270A7574"/>
    <w:rsid w:val="2742259C"/>
    <w:rsid w:val="274D4D58"/>
    <w:rsid w:val="27595469"/>
    <w:rsid w:val="277305C2"/>
    <w:rsid w:val="27761F6B"/>
    <w:rsid w:val="2786414C"/>
    <w:rsid w:val="27995879"/>
    <w:rsid w:val="27E80D93"/>
    <w:rsid w:val="27EA00BC"/>
    <w:rsid w:val="280F5899"/>
    <w:rsid w:val="28122AC5"/>
    <w:rsid w:val="28687A8C"/>
    <w:rsid w:val="28700284"/>
    <w:rsid w:val="28906297"/>
    <w:rsid w:val="289D0687"/>
    <w:rsid w:val="28B01C74"/>
    <w:rsid w:val="28D508E4"/>
    <w:rsid w:val="28E4262B"/>
    <w:rsid w:val="28FF6480"/>
    <w:rsid w:val="293B7B2D"/>
    <w:rsid w:val="293C094A"/>
    <w:rsid w:val="294458A7"/>
    <w:rsid w:val="29516C18"/>
    <w:rsid w:val="299E3BB9"/>
    <w:rsid w:val="2A0436B9"/>
    <w:rsid w:val="2A0E1547"/>
    <w:rsid w:val="2A6D7BED"/>
    <w:rsid w:val="2A816DAE"/>
    <w:rsid w:val="2AA42FC2"/>
    <w:rsid w:val="2AB35A1A"/>
    <w:rsid w:val="2AD224AC"/>
    <w:rsid w:val="2AEC413A"/>
    <w:rsid w:val="2B261707"/>
    <w:rsid w:val="2B2F5B95"/>
    <w:rsid w:val="2B601CBE"/>
    <w:rsid w:val="2B684B79"/>
    <w:rsid w:val="2B7C151D"/>
    <w:rsid w:val="2BA22C00"/>
    <w:rsid w:val="2BA51515"/>
    <w:rsid w:val="2BA66D6B"/>
    <w:rsid w:val="2BB118ED"/>
    <w:rsid w:val="2BD011CC"/>
    <w:rsid w:val="2BEE0EF7"/>
    <w:rsid w:val="2C182C1A"/>
    <w:rsid w:val="2C3F1DEE"/>
    <w:rsid w:val="2C553419"/>
    <w:rsid w:val="2C734DFA"/>
    <w:rsid w:val="2C75628E"/>
    <w:rsid w:val="2C9134D2"/>
    <w:rsid w:val="2CA1133B"/>
    <w:rsid w:val="2CA66D6F"/>
    <w:rsid w:val="2CF16097"/>
    <w:rsid w:val="2D0735D7"/>
    <w:rsid w:val="2D721BD4"/>
    <w:rsid w:val="2D824E87"/>
    <w:rsid w:val="2D8A6A9F"/>
    <w:rsid w:val="2DE51D8B"/>
    <w:rsid w:val="2E1A2171"/>
    <w:rsid w:val="2E1D09C4"/>
    <w:rsid w:val="2E370B40"/>
    <w:rsid w:val="2E5C4496"/>
    <w:rsid w:val="2E7805F6"/>
    <w:rsid w:val="2E8774A1"/>
    <w:rsid w:val="2EC466F8"/>
    <w:rsid w:val="2EE07DE8"/>
    <w:rsid w:val="2F005766"/>
    <w:rsid w:val="2F121B8F"/>
    <w:rsid w:val="2F8C5488"/>
    <w:rsid w:val="2F933186"/>
    <w:rsid w:val="2F951726"/>
    <w:rsid w:val="2FA61115"/>
    <w:rsid w:val="2FC37189"/>
    <w:rsid w:val="30040244"/>
    <w:rsid w:val="30064727"/>
    <w:rsid w:val="30132975"/>
    <w:rsid w:val="30403F1A"/>
    <w:rsid w:val="30522AB3"/>
    <w:rsid w:val="30533774"/>
    <w:rsid w:val="30572B58"/>
    <w:rsid w:val="305B1ACA"/>
    <w:rsid w:val="30797226"/>
    <w:rsid w:val="30AB1D7E"/>
    <w:rsid w:val="30EA74A0"/>
    <w:rsid w:val="3122432A"/>
    <w:rsid w:val="314D2BAF"/>
    <w:rsid w:val="315F2618"/>
    <w:rsid w:val="316B32D4"/>
    <w:rsid w:val="316D27E9"/>
    <w:rsid w:val="318F5E5E"/>
    <w:rsid w:val="31A714B9"/>
    <w:rsid w:val="31B36D9D"/>
    <w:rsid w:val="32331E42"/>
    <w:rsid w:val="323D7964"/>
    <w:rsid w:val="32400D5D"/>
    <w:rsid w:val="324C5803"/>
    <w:rsid w:val="32573DDF"/>
    <w:rsid w:val="326708E0"/>
    <w:rsid w:val="32977631"/>
    <w:rsid w:val="32987CB5"/>
    <w:rsid w:val="32B40453"/>
    <w:rsid w:val="32CA5A7A"/>
    <w:rsid w:val="32CD697B"/>
    <w:rsid w:val="32DB5398"/>
    <w:rsid w:val="32DE2889"/>
    <w:rsid w:val="32E61323"/>
    <w:rsid w:val="32EC6273"/>
    <w:rsid w:val="32EE5AFF"/>
    <w:rsid w:val="33053A08"/>
    <w:rsid w:val="33120A3F"/>
    <w:rsid w:val="33137B12"/>
    <w:rsid w:val="333231B4"/>
    <w:rsid w:val="3335164B"/>
    <w:rsid w:val="333A6820"/>
    <w:rsid w:val="333D6274"/>
    <w:rsid w:val="33621103"/>
    <w:rsid w:val="3369336C"/>
    <w:rsid w:val="337323A2"/>
    <w:rsid w:val="338831FB"/>
    <w:rsid w:val="338E65DD"/>
    <w:rsid w:val="33C04D01"/>
    <w:rsid w:val="33D07330"/>
    <w:rsid w:val="33DC6EA6"/>
    <w:rsid w:val="33E22491"/>
    <w:rsid w:val="33E81C7A"/>
    <w:rsid w:val="33FB5742"/>
    <w:rsid w:val="34302DB3"/>
    <w:rsid w:val="34A16E65"/>
    <w:rsid w:val="34AE09EB"/>
    <w:rsid w:val="34D64EE2"/>
    <w:rsid w:val="352D63B7"/>
    <w:rsid w:val="3564048D"/>
    <w:rsid w:val="35811912"/>
    <w:rsid w:val="35CA5DCC"/>
    <w:rsid w:val="35CD405E"/>
    <w:rsid w:val="35EF34DD"/>
    <w:rsid w:val="35F53CCA"/>
    <w:rsid w:val="35FA001A"/>
    <w:rsid w:val="360E1F39"/>
    <w:rsid w:val="36100BF6"/>
    <w:rsid w:val="362D323E"/>
    <w:rsid w:val="363539CD"/>
    <w:rsid w:val="36E76E45"/>
    <w:rsid w:val="373B7F9E"/>
    <w:rsid w:val="37442787"/>
    <w:rsid w:val="374904F6"/>
    <w:rsid w:val="377D054F"/>
    <w:rsid w:val="378F5DA9"/>
    <w:rsid w:val="37965423"/>
    <w:rsid w:val="37F94AD5"/>
    <w:rsid w:val="37FB53A0"/>
    <w:rsid w:val="383B4F09"/>
    <w:rsid w:val="38486953"/>
    <w:rsid w:val="388D7BB2"/>
    <w:rsid w:val="389D23E9"/>
    <w:rsid w:val="38B87774"/>
    <w:rsid w:val="38CC6430"/>
    <w:rsid w:val="38DA52DE"/>
    <w:rsid w:val="39314350"/>
    <w:rsid w:val="3986416F"/>
    <w:rsid w:val="39A947B4"/>
    <w:rsid w:val="39B02DFB"/>
    <w:rsid w:val="39F20E95"/>
    <w:rsid w:val="39F75F57"/>
    <w:rsid w:val="3A022869"/>
    <w:rsid w:val="3A1316A9"/>
    <w:rsid w:val="3A161F1B"/>
    <w:rsid w:val="3A1B4D89"/>
    <w:rsid w:val="3A275A90"/>
    <w:rsid w:val="3A3C19C0"/>
    <w:rsid w:val="3A5C6F67"/>
    <w:rsid w:val="3A637DD8"/>
    <w:rsid w:val="3A951187"/>
    <w:rsid w:val="3A9C563B"/>
    <w:rsid w:val="3AAE3735"/>
    <w:rsid w:val="3AF33DB5"/>
    <w:rsid w:val="3B0F0CC7"/>
    <w:rsid w:val="3B144361"/>
    <w:rsid w:val="3B1F35B9"/>
    <w:rsid w:val="3B256FAF"/>
    <w:rsid w:val="3B2C4B89"/>
    <w:rsid w:val="3B3C424E"/>
    <w:rsid w:val="3B7243DD"/>
    <w:rsid w:val="3BA52FC8"/>
    <w:rsid w:val="3BDB5ACA"/>
    <w:rsid w:val="3BEB2C2D"/>
    <w:rsid w:val="3BFB795C"/>
    <w:rsid w:val="3BFE2F28"/>
    <w:rsid w:val="3C03341F"/>
    <w:rsid w:val="3C392701"/>
    <w:rsid w:val="3C5E7681"/>
    <w:rsid w:val="3C9C6C3C"/>
    <w:rsid w:val="3D1E3BA0"/>
    <w:rsid w:val="3D3558CE"/>
    <w:rsid w:val="3D551F77"/>
    <w:rsid w:val="3D6B41CC"/>
    <w:rsid w:val="3D904A65"/>
    <w:rsid w:val="3D9A6562"/>
    <w:rsid w:val="3DA654D3"/>
    <w:rsid w:val="3DCE4ACD"/>
    <w:rsid w:val="3E17258E"/>
    <w:rsid w:val="3E200959"/>
    <w:rsid w:val="3E2D7C06"/>
    <w:rsid w:val="3E4D2745"/>
    <w:rsid w:val="3E81541F"/>
    <w:rsid w:val="3E9210F8"/>
    <w:rsid w:val="3E9C6191"/>
    <w:rsid w:val="3EBC4C75"/>
    <w:rsid w:val="3ED561A7"/>
    <w:rsid w:val="3F0164A1"/>
    <w:rsid w:val="3F135D4F"/>
    <w:rsid w:val="3F1A12C0"/>
    <w:rsid w:val="3F1A4110"/>
    <w:rsid w:val="3F433364"/>
    <w:rsid w:val="3F5F4154"/>
    <w:rsid w:val="3F75572E"/>
    <w:rsid w:val="3F7E5580"/>
    <w:rsid w:val="3F8206A8"/>
    <w:rsid w:val="3FA72193"/>
    <w:rsid w:val="3FEC6CDD"/>
    <w:rsid w:val="3FF307AE"/>
    <w:rsid w:val="403C46D4"/>
    <w:rsid w:val="403F117F"/>
    <w:rsid w:val="40411081"/>
    <w:rsid w:val="40470FF4"/>
    <w:rsid w:val="40715421"/>
    <w:rsid w:val="407602D9"/>
    <w:rsid w:val="409973B6"/>
    <w:rsid w:val="409E57C4"/>
    <w:rsid w:val="40AA20C8"/>
    <w:rsid w:val="40AB63C8"/>
    <w:rsid w:val="40AE4B74"/>
    <w:rsid w:val="40D57589"/>
    <w:rsid w:val="40D70B92"/>
    <w:rsid w:val="412A64B4"/>
    <w:rsid w:val="41450AA3"/>
    <w:rsid w:val="41466B62"/>
    <w:rsid w:val="414E29C2"/>
    <w:rsid w:val="415E58DB"/>
    <w:rsid w:val="4169218D"/>
    <w:rsid w:val="41B6005B"/>
    <w:rsid w:val="41B821CB"/>
    <w:rsid w:val="41C66F1F"/>
    <w:rsid w:val="41C67BC3"/>
    <w:rsid w:val="41D1123E"/>
    <w:rsid w:val="41DF3463"/>
    <w:rsid w:val="41FA1AE9"/>
    <w:rsid w:val="421B6E45"/>
    <w:rsid w:val="423617A7"/>
    <w:rsid w:val="424C1023"/>
    <w:rsid w:val="424C6CAD"/>
    <w:rsid w:val="42695FA5"/>
    <w:rsid w:val="42767762"/>
    <w:rsid w:val="42BE3EB6"/>
    <w:rsid w:val="42CB1662"/>
    <w:rsid w:val="43034260"/>
    <w:rsid w:val="432A366D"/>
    <w:rsid w:val="435D0183"/>
    <w:rsid w:val="43644D8A"/>
    <w:rsid w:val="436D7576"/>
    <w:rsid w:val="43711743"/>
    <w:rsid w:val="440D47EB"/>
    <w:rsid w:val="443307CA"/>
    <w:rsid w:val="443E7DD4"/>
    <w:rsid w:val="444C7F9D"/>
    <w:rsid w:val="44577DFA"/>
    <w:rsid w:val="44904A26"/>
    <w:rsid w:val="44D017C2"/>
    <w:rsid w:val="44D86CFB"/>
    <w:rsid w:val="45075B43"/>
    <w:rsid w:val="451F7EBE"/>
    <w:rsid w:val="452C43BC"/>
    <w:rsid w:val="45315A9B"/>
    <w:rsid w:val="453E3CC7"/>
    <w:rsid w:val="45483C0B"/>
    <w:rsid w:val="455F28DF"/>
    <w:rsid w:val="457D7931"/>
    <w:rsid w:val="459A484B"/>
    <w:rsid w:val="45A908C7"/>
    <w:rsid w:val="45B85636"/>
    <w:rsid w:val="45C1646F"/>
    <w:rsid w:val="45EE43B9"/>
    <w:rsid w:val="45FA10C0"/>
    <w:rsid w:val="464D2BCB"/>
    <w:rsid w:val="465107E4"/>
    <w:rsid w:val="465B2E16"/>
    <w:rsid w:val="46707350"/>
    <w:rsid w:val="467E6798"/>
    <w:rsid w:val="46BF103D"/>
    <w:rsid w:val="46BF5974"/>
    <w:rsid w:val="46D90680"/>
    <w:rsid w:val="46DE2F19"/>
    <w:rsid w:val="46F80387"/>
    <w:rsid w:val="476218CD"/>
    <w:rsid w:val="4771713B"/>
    <w:rsid w:val="4796080C"/>
    <w:rsid w:val="47B706DD"/>
    <w:rsid w:val="484663CD"/>
    <w:rsid w:val="48474B4D"/>
    <w:rsid w:val="484D5996"/>
    <w:rsid w:val="4853413E"/>
    <w:rsid w:val="489F2759"/>
    <w:rsid w:val="48A1039C"/>
    <w:rsid w:val="48A7250C"/>
    <w:rsid w:val="48AA682A"/>
    <w:rsid w:val="48B75F65"/>
    <w:rsid w:val="48DC62CD"/>
    <w:rsid w:val="49016808"/>
    <w:rsid w:val="491C7B35"/>
    <w:rsid w:val="4932495C"/>
    <w:rsid w:val="49947281"/>
    <w:rsid w:val="49AC0216"/>
    <w:rsid w:val="49AF2B46"/>
    <w:rsid w:val="49D041AF"/>
    <w:rsid w:val="49E22CE9"/>
    <w:rsid w:val="49E22E2C"/>
    <w:rsid w:val="4A1C549D"/>
    <w:rsid w:val="4A2249BA"/>
    <w:rsid w:val="4A806464"/>
    <w:rsid w:val="4A9A0F32"/>
    <w:rsid w:val="4B28675E"/>
    <w:rsid w:val="4B702D43"/>
    <w:rsid w:val="4B7E275C"/>
    <w:rsid w:val="4B8A463A"/>
    <w:rsid w:val="4B98503D"/>
    <w:rsid w:val="4BB12D06"/>
    <w:rsid w:val="4BDF54CB"/>
    <w:rsid w:val="4C4A63F6"/>
    <w:rsid w:val="4C5B2690"/>
    <w:rsid w:val="4CA919EC"/>
    <w:rsid w:val="4CB65761"/>
    <w:rsid w:val="4CF54346"/>
    <w:rsid w:val="4D0724E6"/>
    <w:rsid w:val="4D133EF3"/>
    <w:rsid w:val="4D1F1E78"/>
    <w:rsid w:val="4D4E636C"/>
    <w:rsid w:val="4D647553"/>
    <w:rsid w:val="4D8352B9"/>
    <w:rsid w:val="4D973A29"/>
    <w:rsid w:val="4DB26762"/>
    <w:rsid w:val="4DB6703E"/>
    <w:rsid w:val="4DD63866"/>
    <w:rsid w:val="4DDA57F5"/>
    <w:rsid w:val="4DFA6254"/>
    <w:rsid w:val="4E175433"/>
    <w:rsid w:val="4E3D249A"/>
    <w:rsid w:val="4E4147CF"/>
    <w:rsid w:val="4E44203C"/>
    <w:rsid w:val="4E585BD3"/>
    <w:rsid w:val="4E7921F2"/>
    <w:rsid w:val="4E997D2E"/>
    <w:rsid w:val="4EEA7626"/>
    <w:rsid w:val="4EEC6579"/>
    <w:rsid w:val="4EFF4FF8"/>
    <w:rsid w:val="4F317584"/>
    <w:rsid w:val="4F366280"/>
    <w:rsid w:val="4F7A1894"/>
    <w:rsid w:val="4F826751"/>
    <w:rsid w:val="4FFD6CAA"/>
    <w:rsid w:val="500F4D66"/>
    <w:rsid w:val="50317480"/>
    <w:rsid w:val="50C64279"/>
    <w:rsid w:val="50EE667C"/>
    <w:rsid w:val="51042128"/>
    <w:rsid w:val="518F046B"/>
    <w:rsid w:val="51E35205"/>
    <w:rsid w:val="524C29D1"/>
    <w:rsid w:val="528F6FD3"/>
    <w:rsid w:val="529047D7"/>
    <w:rsid w:val="5293705D"/>
    <w:rsid w:val="52AB35AC"/>
    <w:rsid w:val="52AF09E0"/>
    <w:rsid w:val="52D03CAD"/>
    <w:rsid w:val="52E002C2"/>
    <w:rsid w:val="52E9476A"/>
    <w:rsid w:val="52F03D66"/>
    <w:rsid w:val="530B0A01"/>
    <w:rsid w:val="530F0DBA"/>
    <w:rsid w:val="53120D52"/>
    <w:rsid w:val="53321BCD"/>
    <w:rsid w:val="5347703D"/>
    <w:rsid w:val="5393487D"/>
    <w:rsid w:val="53A1511A"/>
    <w:rsid w:val="53A475CB"/>
    <w:rsid w:val="53B513BD"/>
    <w:rsid w:val="53C96366"/>
    <w:rsid w:val="53CF2117"/>
    <w:rsid w:val="53DD56D6"/>
    <w:rsid w:val="53E71DAF"/>
    <w:rsid w:val="542F16B8"/>
    <w:rsid w:val="54305CAF"/>
    <w:rsid w:val="544C7870"/>
    <w:rsid w:val="545C05CE"/>
    <w:rsid w:val="54771ABB"/>
    <w:rsid w:val="548C58C3"/>
    <w:rsid w:val="549E382E"/>
    <w:rsid w:val="54C47405"/>
    <w:rsid w:val="54CA6632"/>
    <w:rsid w:val="54CE7A6C"/>
    <w:rsid w:val="54D544EC"/>
    <w:rsid w:val="54EC7CC6"/>
    <w:rsid w:val="55190239"/>
    <w:rsid w:val="55392333"/>
    <w:rsid w:val="55641067"/>
    <w:rsid w:val="55984D9B"/>
    <w:rsid w:val="55E9006A"/>
    <w:rsid w:val="56127F1A"/>
    <w:rsid w:val="562A3A43"/>
    <w:rsid w:val="562E4BC8"/>
    <w:rsid w:val="56AD7E5D"/>
    <w:rsid w:val="56DD7204"/>
    <w:rsid w:val="56F7089E"/>
    <w:rsid w:val="56FF4AB5"/>
    <w:rsid w:val="57011AA8"/>
    <w:rsid w:val="570422E5"/>
    <w:rsid w:val="570517E1"/>
    <w:rsid w:val="57644CC7"/>
    <w:rsid w:val="576D761B"/>
    <w:rsid w:val="577B29E3"/>
    <w:rsid w:val="57967163"/>
    <w:rsid w:val="57B162ED"/>
    <w:rsid w:val="57FC12FF"/>
    <w:rsid w:val="58093A18"/>
    <w:rsid w:val="58270AE8"/>
    <w:rsid w:val="582A7D87"/>
    <w:rsid w:val="584C7A96"/>
    <w:rsid w:val="5857359A"/>
    <w:rsid w:val="58581356"/>
    <w:rsid w:val="586107F6"/>
    <w:rsid w:val="58686572"/>
    <w:rsid w:val="589B4A64"/>
    <w:rsid w:val="58A6148F"/>
    <w:rsid w:val="58C32BD8"/>
    <w:rsid w:val="58EA7DF0"/>
    <w:rsid w:val="58F51863"/>
    <w:rsid w:val="591427EE"/>
    <w:rsid w:val="593B0031"/>
    <w:rsid w:val="595D12ED"/>
    <w:rsid w:val="59722D5E"/>
    <w:rsid w:val="597E79BC"/>
    <w:rsid w:val="59D35022"/>
    <w:rsid w:val="59F1663C"/>
    <w:rsid w:val="59F42893"/>
    <w:rsid w:val="59FD3DCE"/>
    <w:rsid w:val="5A03625B"/>
    <w:rsid w:val="5A0C020A"/>
    <w:rsid w:val="5A163CAC"/>
    <w:rsid w:val="5A190217"/>
    <w:rsid w:val="5A1A1E2F"/>
    <w:rsid w:val="5A1E21C2"/>
    <w:rsid w:val="5A532601"/>
    <w:rsid w:val="5A741F60"/>
    <w:rsid w:val="5A7D672E"/>
    <w:rsid w:val="5AA04392"/>
    <w:rsid w:val="5B2466BA"/>
    <w:rsid w:val="5B3E00D1"/>
    <w:rsid w:val="5B4A5499"/>
    <w:rsid w:val="5B722CCB"/>
    <w:rsid w:val="5C0151B1"/>
    <w:rsid w:val="5C524CD9"/>
    <w:rsid w:val="5C5D6A2E"/>
    <w:rsid w:val="5C9B1F70"/>
    <w:rsid w:val="5CA1269F"/>
    <w:rsid w:val="5CB8471C"/>
    <w:rsid w:val="5CBA084D"/>
    <w:rsid w:val="5CBC1DD5"/>
    <w:rsid w:val="5CF35B1B"/>
    <w:rsid w:val="5CF51AC4"/>
    <w:rsid w:val="5D434155"/>
    <w:rsid w:val="5D4451FF"/>
    <w:rsid w:val="5D597945"/>
    <w:rsid w:val="5D5B0F06"/>
    <w:rsid w:val="5D8211DF"/>
    <w:rsid w:val="5D855D3C"/>
    <w:rsid w:val="5DAF1F34"/>
    <w:rsid w:val="5DB9131A"/>
    <w:rsid w:val="5DD8640B"/>
    <w:rsid w:val="5DF27297"/>
    <w:rsid w:val="5E262B8F"/>
    <w:rsid w:val="5E2A7755"/>
    <w:rsid w:val="5EB56BAE"/>
    <w:rsid w:val="5EC731E4"/>
    <w:rsid w:val="5EE12130"/>
    <w:rsid w:val="5EEC3CA3"/>
    <w:rsid w:val="5F2D6CA5"/>
    <w:rsid w:val="5F47053B"/>
    <w:rsid w:val="5F652EE9"/>
    <w:rsid w:val="5F6A43E8"/>
    <w:rsid w:val="5F7F2AB4"/>
    <w:rsid w:val="5FAA28AD"/>
    <w:rsid w:val="5FE0660E"/>
    <w:rsid w:val="5FE52621"/>
    <w:rsid w:val="604E74B1"/>
    <w:rsid w:val="605F3EBA"/>
    <w:rsid w:val="606B6006"/>
    <w:rsid w:val="60854780"/>
    <w:rsid w:val="60906294"/>
    <w:rsid w:val="60AD0D67"/>
    <w:rsid w:val="60B2418B"/>
    <w:rsid w:val="61062D08"/>
    <w:rsid w:val="611157B1"/>
    <w:rsid w:val="61220E43"/>
    <w:rsid w:val="612B2ACE"/>
    <w:rsid w:val="616836EB"/>
    <w:rsid w:val="61961F61"/>
    <w:rsid w:val="619B609F"/>
    <w:rsid w:val="61D62FFE"/>
    <w:rsid w:val="61DD1BCE"/>
    <w:rsid w:val="61FB4074"/>
    <w:rsid w:val="62130527"/>
    <w:rsid w:val="621A624E"/>
    <w:rsid w:val="621C0410"/>
    <w:rsid w:val="62447DE8"/>
    <w:rsid w:val="62544D53"/>
    <w:rsid w:val="62883067"/>
    <w:rsid w:val="62FE7E01"/>
    <w:rsid w:val="631B287D"/>
    <w:rsid w:val="636C0A39"/>
    <w:rsid w:val="638258DB"/>
    <w:rsid w:val="63BA43DE"/>
    <w:rsid w:val="63C54473"/>
    <w:rsid w:val="63D00902"/>
    <w:rsid w:val="63E9522E"/>
    <w:rsid w:val="64262C21"/>
    <w:rsid w:val="642A558C"/>
    <w:rsid w:val="643A0BC2"/>
    <w:rsid w:val="643B153B"/>
    <w:rsid w:val="645E5B83"/>
    <w:rsid w:val="647E054E"/>
    <w:rsid w:val="64930613"/>
    <w:rsid w:val="64AD6091"/>
    <w:rsid w:val="64AD6369"/>
    <w:rsid w:val="64B75196"/>
    <w:rsid w:val="64E778DE"/>
    <w:rsid w:val="653647F2"/>
    <w:rsid w:val="655D2652"/>
    <w:rsid w:val="6573169D"/>
    <w:rsid w:val="657537D5"/>
    <w:rsid w:val="65892C80"/>
    <w:rsid w:val="659113A8"/>
    <w:rsid w:val="65984F77"/>
    <w:rsid w:val="65A12DD7"/>
    <w:rsid w:val="65B27C4C"/>
    <w:rsid w:val="65E27DF8"/>
    <w:rsid w:val="65EB5443"/>
    <w:rsid w:val="6611504C"/>
    <w:rsid w:val="66B82FD7"/>
    <w:rsid w:val="66DC3D87"/>
    <w:rsid w:val="66F05C54"/>
    <w:rsid w:val="670255C1"/>
    <w:rsid w:val="672C3C51"/>
    <w:rsid w:val="674D0682"/>
    <w:rsid w:val="677F0E0F"/>
    <w:rsid w:val="67996AA8"/>
    <w:rsid w:val="679C7966"/>
    <w:rsid w:val="67BB28D3"/>
    <w:rsid w:val="67BD1886"/>
    <w:rsid w:val="6808413B"/>
    <w:rsid w:val="685F13EA"/>
    <w:rsid w:val="687215D4"/>
    <w:rsid w:val="68821319"/>
    <w:rsid w:val="688C5A00"/>
    <w:rsid w:val="6891782A"/>
    <w:rsid w:val="689660CA"/>
    <w:rsid w:val="68BD6650"/>
    <w:rsid w:val="68EA29ED"/>
    <w:rsid w:val="68EF1990"/>
    <w:rsid w:val="68F6019D"/>
    <w:rsid w:val="692F52B1"/>
    <w:rsid w:val="696E7569"/>
    <w:rsid w:val="697666DC"/>
    <w:rsid w:val="697A2455"/>
    <w:rsid w:val="69C3441D"/>
    <w:rsid w:val="69FB5F4B"/>
    <w:rsid w:val="6A123B02"/>
    <w:rsid w:val="6A354CF8"/>
    <w:rsid w:val="6A5C3C7D"/>
    <w:rsid w:val="6A68310D"/>
    <w:rsid w:val="6A7D01B7"/>
    <w:rsid w:val="6AAC413A"/>
    <w:rsid w:val="6ABD0BF8"/>
    <w:rsid w:val="6AC77072"/>
    <w:rsid w:val="6AE232A1"/>
    <w:rsid w:val="6AEC4919"/>
    <w:rsid w:val="6AEE5DAB"/>
    <w:rsid w:val="6B042426"/>
    <w:rsid w:val="6B2F7C3E"/>
    <w:rsid w:val="6B4E7837"/>
    <w:rsid w:val="6B6501DB"/>
    <w:rsid w:val="6B9057BF"/>
    <w:rsid w:val="6BD20C8D"/>
    <w:rsid w:val="6BE30921"/>
    <w:rsid w:val="6C04432C"/>
    <w:rsid w:val="6C1868BC"/>
    <w:rsid w:val="6C2109CB"/>
    <w:rsid w:val="6CCB2D89"/>
    <w:rsid w:val="6CD37132"/>
    <w:rsid w:val="6CD56111"/>
    <w:rsid w:val="6CE8468D"/>
    <w:rsid w:val="6CF6118A"/>
    <w:rsid w:val="6CF955B3"/>
    <w:rsid w:val="6D0F637A"/>
    <w:rsid w:val="6D341A74"/>
    <w:rsid w:val="6D6C0F3A"/>
    <w:rsid w:val="6DAF3797"/>
    <w:rsid w:val="6DB701FB"/>
    <w:rsid w:val="6DCD057E"/>
    <w:rsid w:val="6E196D1A"/>
    <w:rsid w:val="6E2E7539"/>
    <w:rsid w:val="6E312813"/>
    <w:rsid w:val="6E352AEA"/>
    <w:rsid w:val="6E555B6B"/>
    <w:rsid w:val="6E66291B"/>
    <w:rsid w:val="6E8A4F1F"/>
    <w:rsid w:val="6E8E5DAA"/>
    <w:rsid w:val="6EAE30BD"/>
    <w:rsid w:val="6ED96D79"/>
    <w:rsid w:val="6EEA5D35"/>
    <w:rsid w:val="6EEB6ECB"/>
    <w:rsid w:val="6F082945"/>
    <w:rsid w:val="6F3F087C"/>
    <w:rsid w:val="6F4459C9"/>
    <w:rsid w:val="6F7A43BF"/>
    <w:rsid w:val="6F8441A1"/>
    <w:rsid w:val="6FD9024D"/>
    <w:rsid w:val="6FDD3625"/>
    <w:rsid w:val="6FE805D8"/>
    <w:rsid w:val="70005DA5"/>
    <w:rsid w:val="704F0D6D"/>
    <w:rsid w:val="705A3176"/>
    <w:rsid w:val="70C619F7"/>
    <w:rsid w:val="710F14FD"/>
    <w:rsid w:val="7114640A"/>
    <w:rsid w:val="7126248B"/>
    <w:rsid w:val="7126427D"/>
    <w:rsid w:val="71380715"/>
    <w:rsid w:val="713F2CC7"/>
    <w:rsid w:val="714300E6"/>
    <w:rsid w:val="714A70A8"/>
    <w:rsid w:val="716E6253"/>
    <w:rsid w:val="718C2E28"/>
    <w:rsid w:val="718E3E70"/>
    <w:rsid w:val="71A953EB"/>
    <w:rsid w:val="71CA7388"/>
    <w:rsid w:val="72026D73"/>
    <w:rsid w:val="721E6A00"/>
    <w:rsid w:val="7223355E"/>
    <w:rsid w:val="7260153F"/>
    <w:rsid w:val="72B23C22"/>
    <w:rsid w:val="72CF3CC5"/>
    <w:rsid w:val="72DF72AC"/>
    <w:rsid w:val="72E40E7E"/>
    <w:rsid w:val="731F55F4"/>
    <w:rsid w:val="73333807"/>
    <w:rsid w:val="733C6D45"/>
    <w:rsid w:val="738511FF"/>
    <w:rsid w:val="73DC0323"/>
    <w:rsid w:val="74084A22"/>
    <w:rsid w:val="740B1E17"/>
    <w:rsid w:val="74126CE9"/>
    <w:rsid w:val="74487AE2"/>
    <w:rsid w:val="744D6D3D"/>
    <w:rsid w:val="74A8702B"/>
    <w:rsid w:val="74B367EC"/>
    <w:rsid w:val="74E60CCE"/>
    <w:rsid w:val="75150361"/>
    <w:rsid w:val="752A64C4"/>
    <w:rsid w:val="757205DB"/>
    <w:rsid w:val="75CA23D1"/>
    <w:rsid w:val="76067022"/>
    <w:rsid w:val="76305522"/>
    <w:rsid w:val="764C6271"/>
    <w:rsid w:val="766B677F"/>
    <w:rsid w:val="766F7C96"/>
    <w:rsid w:val="768D006B"/>
    <w:rsid w:val="76B67CA7"/>
    <w:rsid w:val="76BA3214"/>
    <w:rsid w:val="76D70F93"/>
    <w:rsid w:val="76E14457"/>
    <w:rsid w:val="76F706DA"/>
    <w:rsid w:val="76F8613C"/>
    <w:rsid w:val="77195C66"/>
    <w:rsid w:val="772C7BCD"/>
    <w:rsid w:val="774418C1"/>
    <w:rsid w:val="7745292F"/>
    <w:rsid w:val="77B318AC"/>
    <w:rsid w:val="77BE449D"/>
    <w:rsid w:val="77D45D92"/>
    <w:rsid w:val="77F252BD"/>
    <w:rsid w:val="78B1723F"/>
    <w:rsid w:val="78EB5E30"/>
    <w:rsid w:val="78F356A3"/>
    <w:rsid w:val="78F867C6"/>
    <w:rsid w:val="78FA3E39"/>
    <w:rsid w:val="7946470A"/>
    <w:rsid w:val="79496711"/>
    <w:rsid w:val="794D4B4A"/>
    <w:rsid w:val="79515D7A"/>
    <w:rsid w:val="79931D2D"/>
    <w:rsid w:val="79A31FD2"/>
    <w:rsid w:val="79AB4E56"/>
    <w:rsid w:val="79D90F6B"/>
    <w:rsid w:val="79DB3AB4"/>
    <w:rsid w:val="79E32F7A"/>
    <w:rsid w:val="79E75A6E"/>
    <w:rsid w:val="7A0808C6"/>
    <w:rsid w:val="7A44580E"/>
    <w:rsid w:val="7A4E6DDC"/>
    <w:rsid w:val="7A9944CF"/>
    <w:rsid w:val="7AD47229"/>
    <w:rsid w:val="7AEA5324"/>
    <w:rsid w:val="7B446CF4"/>
    <w:rsid w:val="7B791C4E"/>
    <w:rsid w:val="7B7D0F46"/>
    <w:rsid w:val="7BC6564A"/>
    <w:rsid w:val="7C0C3F15"/>
    <w:rsid w:val="7C1C4EB6"/>
    <w:rsid w:val="7C262474"/>
    <w:rsid w:val="7C347AFB"/>
    <w:rsid w:val="7C523CE4"/>
    <w:rsid w:val="7C6658A5"/>
    <w:rsid w:val="7C7B38D0"/>
    <w:rsid w:val="7CB3367B"/>
    <w:rsid w:val="7CC64DC3"/>
    <w:rsid w:val="7CE946EC"/>
    <w:rsid w:val="7D591062"/>
    <w:rsid w:val="7D993618"/>
    <w:rsid w:val="7DFD27DB"/>
    <w:rsid w:val="7E386EF0"/>
    <w:rsid w:val="7E693BFF"/>
    <w:rsid w:val="7EA5442A"/>
    <w:rsid w:val="7EA64ADF"/>
    <w:rsid w:val="7ECC78A9"/>
    <w:rsid w:val="7EF268CB"/>
    <w:rsid w:val="7F395C69"/>
    <w:rsid w:val="7F5E28EB"/>
    <w:rsid w:val="7F713E89"/>
    <w:rsid w:val="7F8A04BE"/>
    <w:rsid w:val="7F915001"/>
    <w:rsid w:val="7FCD0B0F"/>
    <w:rsid w:val="7FEC2971"/>
    <w:rsid w:val="7FF01FEF"/>
    <w:rsid w:val="FFBB2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uiPriority="0" w:name="footnote text"/>
    <w:lsdException w:qFormat="1" w:uiPriority="99" w:semiHidden="0" w:name="annotation text"/>
    <w:lsdException w:qFormat="1" w:uiPriority="99"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link w:val="33"/>
    <w:qFormat/>
    <w:uiPriority w:val="9"/>
    <w:pPr>
      <w:keepNext/>
      <w:keepLines/>
      <w:spacing w:before="340" w:after="330" w:line="578" w:lineRule="auto"/>
      <w:outlineLvl w:val="0"/>
    </w:pPr>
    <w:rPr>
      <w:b/>
      <w:bCs/>
      <w:kern w:val="44"/>
      <w:sz w:val="28"/>
      <w:szCs w:val="44"/>
    </w:rPr>
  </w:style>
  <w:style w:type="paragraph" w:styleId="4">
    <w:name w:val="heading 2"/>
    <w:basedOn w:val="1"/>
    <w:next w:val="1"/>
    <w:link w:val="34"/>
    <w:unhideWhenUsed/>
    <w:qFormat/>
    <w:uiPriority w:val="9"/>
    <w:pPr>
      <w:keepNext/>
      <w:keepLines/>
      <w:spacing w:before="120" w:after="120" w:line="360" w:lineRule="auto"/>
      <w:outlineLvl w:val="1"/>
    </w:pPr>
    <w:rPr>
      <w:rFonts w:ascii="等线 Light" w:hAnsi="等线 Light" w:eastAsia="黑体" w:cs="黑体"/>
      <w:b/>
      <w:bCs/>
      <w:szCs w:val="32"/>
    </w:rPr>
  </w:style>
  <w:style w:type="paragraph" w:styleId="5">
    <w:name w:val="heading 3"/>
    <w:basedOn w:val="1"/>
    <w:next w:val="1"/>
    <w:link w:val="35"/>
    <w:unhideWhenUsed/>
    <w:qFormat/>
    <w:uiPriority w:val="9"/>
    <w:pPr>
      <w:keepNext/>
      <w:keepLines/>
      <w:spacing w:before="120" w:after="120"/>
      <w:outlineLvl w:val="2"/>
    </w:pPr>
    <w:rPr>
      <w:rFonts w:eastAsia="楷体"/>
      <w:b/>
      <w:bCs/>
      <w:szCs w:val="32"/>
    </w:rPr>
  </w:style>
  <w:style w:type="character" w:default="1" w:styleId="20">
    <w:name w:val="Default Paragraph Font"/>
    <w:unhideWhenUsed/>
    <w:qFormat/>
    <w:uiPriority w:val="1"/>
  </w:style>
  <w:style w:type="table" w:default="1" w:styleId="24">
    <w:name w:val="Normal Table"/>
    <w:unhideWhenUsed/>
    <w:qFormat/>
    <w:uiPriority w:val="99"/>
    <w:tblPr>
      <w:tblLayout w:type="fixed"/>
      <w:tblCellMar>
        <w:top w:w="0" w:type="dxa"/>
        <w:left w:w="108" w:type="dxa"/>
        <w:bottom w:w="0" w:type="dxa"/>
        <w:right w:w="108" w:type="dxa"/>
      </w:tblCellMar>
    </w:tblPr>
  </w:style>
  <w:style w:type="paragraph" w:styleId="2">
    <w:name w:val="toc 1"/>
    <w:basedOn w:val="1"/>
    <w:next w:val="1"/>
    <w:unhideWhenUsed/>
    <w:qFormat/>
    <w:uiPriority w:val="39"/>
    <w:pPr>
      <w:tabs>
        <w:tab w:val="right" w:leader="dot" w:pos="8296"/>
      </w:tabs>
      <w:spacing w:line="360" w:lineRule="auto"/>
      <w:jc w:val="center"/>
    </w:pPr>
    <w:rPr>
      <w:b/>
      <w:bCs/>
      <w:sz w:val="28"/>
      <w:szCs w:val="28"/>
    </w:rPr>
  </w:style>
  <w:style w:type="paragraph" w:styleId="6">
    <w:name w:val="annotation subject"/>
    <w:basedOn w:val="7"/>
    <w:next w:val="7"/>
    <w:link w:val="41"/>
    <w:unhideWhenUsed/>
    <w:qFormat/>
    <w:uiPriority w:val="99"/>
    <w:rPr>
      <w:b/>
      <w:bCs/>
    </w:rPr>
  </w:style>
  <w:style w:type="paragraph" w:styleId="7">
    <w:name w:val="annotation text"/>
    <w:basedOn w:val="1"/>
    <w:link w:val="40"/>
    <w:unhideWhenUsed/>
    <w:qFormat/>
    <w:uiPriority w:val="99"/>
  </w:style>
  <w:style w:type="paragraph" w:styleId="8">
    <w:name w:val="toc 7"/>
    <w:basedOn w:val="1"/>
    <w:next w:val="1"/>
    <w:unhideWhenUsed/>
    <w:qFormat/>
    <w:uiPriority w:val="39"/>
    <w:pPr>
      <w:ind w:left="1440"/>
    </w:pPr>
    <w:rPr>
      <w:rFonts w:ascii="等线" w:eastAsia="等线"/>
      <w:sz w:val="20"/>
      <w:szCs w:val="20"/>
    </w:rPr>
  </w:style>
  <w:style w:type="paragraph" w:styleId="9">
    <w:name w:val="toc 5"/>
    <w:basedOn w:val="1"/>
    <w:next w:val="1"/>
    <w:unhideWhenUsed/>
    <w:qFormat/>
    <w:uiPriority w:val="39"/>
    <w:pPr>
      <w:ind w:left="960"/>
    </w:pPr>
    <w:rPr>
      <w:rFonts w:ascii="等线" w:eastAsia="等线"/>
      <w:sz w:val="20"/>
      <w:szCs w:val="20"/>
    </w:rPr>
  </w:style>
  <w:style w:type="paragraph" w:styleId="10">
    <w:name w:val="toc 3"/>
    <w:basedOn w:val="1"/>
    <w:next w:val="1"/>
    <w:unhideWhenUsed/>
    <w:qFormat/>
    <w:uiPriority w:val="39"/>
    <w:pPr>
      <w:ind w:left="480"/>
    </w:pPr>
    <w:rPr>
      <w:rFonts w:ascii="等线" w:eastAsia="等线"/>
      <w:sz w:val="20"/>
      <w:szCs w:val="20"/>
    </w:rPr>
  </w:style>
  <w:style w:type="paragraph" w:styleId="11">
    <w:name w:val="toc 8"/>
    <w:basedOn w:val="1"/>
    <w:next w:val="1"/>
    <w:unhideWhenUsed/>
    <w:qFormat/>
    <w:uiPriority w:val="39"/>
    <w:pPr>
      <w:ind w:left="1680"/>
    </w:pPr>
    <w:rPr>
      <w:rFonts w:ascii="等线" w:eastAsia="等线"/>
      <w:sz w:val="20"/>
      <w:szCs w:val="20"/>
    </w:rPr>
  </w:style>
  <w:style w:type="paragraph" w:styleId="12">
    <w:name w:val="Body Text Indent 2"/>
    <w:basedOn w:val="1"/>
    <w:link w:val="36"/>
    <w:qFormat/>
    <w:uiPriority w:val="0"/>
    <w:pPr>
      <w:spacing w:after="120" w:line="480" w:lineRule="auto"/>
      <w:ind w:left="420" w:leftChars="200"/>
      <w:jc w:val="both"/>
    </w:pPr>
    <w:rPr>
      <w:rFonts w:ascii="Times New Roman" w:hAnsi="Times New Roman" w:cs="Times New Roman"/>
      <w:kern w:val="2"/>
      <w:sz w:val="21"/>
      <w:szCs w:val="20"/>
    </w:rPr>
  </w:style>
  <w:style w:type="paragraph" w:styleId="13">
    <w:name w:val="Balloon Text"/>
    <w:basedOn w:val="1"/>
    <w:link w:val="39"/>
    <w:unhideWhenUsed/>
    <w:qFormat/>
    <w:uiPriority w:val="99"/>
    <w:rPr>
      <w:sz w:val="18"/>
      <w:szCs w:val="18"/>
    </w:rPr>
  </w:style>
  <w:style w:type="paragraph" w:styleId="14">
    <w:name w:val="footer"/>
    <w:basedOn w:val="1"/>
    <w:link w:val="37"/>
    <w:qFormat/>
    <w:uiPriority w:val="0"/>
    <w:pPr>
      <w:tabs>
        <w:tab w:val="center" w:pos="4153"/>
        <w:tab w:val="right" w:pos="8306"/>
      </w:tabs>
      <w:snapToGrid w:val="0"/>
    </w:pPr>
    <w:rPr>
      <w:rFonts w:ascii="Times New Roman" w:hAnsi="Times New Roman" w:cs="Times New Roman"/>
      <w:kern w:val="2"/>
      <w:sz w:val="18"/>
      <w:szCs w:val="20"/>
    </w:rPr>
  </w:style>
  <w:style w:type="paragraph" w:styleId="15">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4"/>
    <w:basedOn w:val="1"/>
    <w:next w:val="1"/>
    <w:unhideWhenUsed/>
    <w:qFormat/>
    <w:uiPriority w:val="39"/>
    <w:pPr>
      <w:ind w:left="720"/>
    </w:pPr>
    <w:rPr>
      <w:rFonts w:ascii="等线" w:eastAsia="等线"/>
      <w:sz w:val="20"/>
      <w:szCs w:val="20"/>
    </w:rPr>
  </w:style>
  <w:style w:type="paragraph" w:styleId="17">
    <w:name w:val="toc 6"/>
    <w:basedOn w:val="1"/>
    <w:next w:val="1"/>
    <w:unhideWhenUsed/>
    <w:qFormat/>
    <w:uiPriority w:val="39"/>
    <w:pPr>
      <w:ind w:left="1200"/>
    </w:pPr>
    <w:rPr>
      <w:rFonts w:ascii="等线" w:eastAsia="等线"/>
      <w:sz w:val="20"/>
      <w:szCs w:val="20"/>
    </w:rPr>
  </w:style>
  <w:style w:type="paragraph" w:styleId="18">
    <w:name w:val="toc 2"/>
    <w:basedOn w:val="1"/>
    <w:next w:val="1"/>
    <w:unhideWhenUsed/>
    <w:qFormat/>
    <w:uiPriority w:val="39"/>
    <w:pPr>
      <w:spacing w:before="120"/>
      <w:ind w:left="240"/>
    </w:pPr>
    <w:rPr>
      <w:rFonts w:ascii="等线" w:eastAsia="等线"/>
      <w:b/>
      <w:bCs/>
      <w:sz w:val="22"/>
      <w:szCs w:val="22"/>
    </w:rPr>
  </w:style>
  <w:style w:type="paragraph" w:styleId="19">
    <w:name w:val="toc 9"/>
    <w:basedOn w:val="1"/>
    <w:next w:val="1"/>
    <w:unhideWhenUsed/>
    <w:qFormat/>
    <w:uiPriority w:val="39"/>
    <w:pPr>
      <w:ind w:left="1920"/>
    </w:pPr>
    <w:rPr>
      <w:rFonts w:ascii="等线" w:eastAsia="等线"/>
      <w:sz w:val="20"/>
      <w:szCs w:val="20"/>
    </w:rPr>
  </w:style>
  <w:style w:type="character" w:styleId="21">
    <w:name w:val="page number"/>
    <w:basedOn w:val="20"/>
    <w:unhideWhenUsed/>
    <w:qFormat/>
    <w:uiPriority w:val="99"/>
  </w:style>
  <w:style w:type="character" w:styleId="22">
    <w:name w:val="Hyperlink"/>
    <w:basedOn w:val="20"/>
    <w:unhideWhenUsed/>
    <w:qFormat/>
    <w:uiPriority w:val="99"/>
    <w:rPr>
      <w:color w:val="0563C1"/>
      <w:u w:val="single"/>
    </w:rPr>
  </w:style>
  <w:style w:type="character" w:styleId="23">
    <w:name w:val="annotation reference"/>
    <w:basedOn w:val="20"/>
    <w:unhideWhenUsed/>
    <w:qFormat/>
    <w:uiPriority w:val="99"/>
    <w:rPr>
      <w:sz w:val="21"/>
      <w:szCs w:val="21"/>
    </w:rPr>
  </w:style>
  <w:style w:type="paragraph" w:customStyle="1" w:styleId="25">
    <w:name w:val="TOC1"/>
    <w:basedOn w:val="1"/>
    <w:next w:val="1"/>
    <w:qFormat/>
    <w:uiPriority w:val="0"/>
    <w:pPr>
      <w:spacing w:line="288" w:lineRule="auto"/>
      <w:textAlignment w:val="baseline"/>
    </w:pPr>
    <w:rPr>
      <w:rFonts w:eastAsia="仿宋_GB2312" w:cs="Times New Roman"/>
      <w:color w:val="000000"/>
      <w:kern w:val="32"/>
      <w:sz w:val="32"/>
      <w:szCs w:val="21"/>
    </w:rPr>
  </w:style>
  <w:style w:type="paragraph" w:customStyle="1" w:styleId="26">
    <w:name w:val="列出段落3"/>
    <w:basedOn w:val="1"/>
    <w:unhideWhenUsed/>
    <w:qFormat/>
    <w:uiPriority w:val="99"/>
    <w:pPr>
      <w:ind w:firstLine="420" w:firstLineChars="200"/>
      <w:jc w:val="both"/>
    </w:pPr>
    <w:rPr>
      <w:rFonts w:ascii="Times New Roman" w:hAnsi="Times New Roman" w:cs="Times New Roman"/>
      <w:kern w:val="2"/>
      <w:sz w:val="21"/>
      <w:szCs w:val="20"/>
    </w:rPr>
  </w:style>
  <w:style w:type="paragraph" w:customStyle="1" w:styleId="27">
    <w:name w:val="TOC 标题1"/>
    <w:basedOn w:val="3"/>
    <w:next w:val="1"/>
    <w:unhideWhenUsed/>
    <w:qFormat/>
    <w:uiPriority w:val="39"/>
    <w:pPr>
      <w:spacing w:before="480" w:after="0" w:line="276" w:lineRule="auto"/>
      <w:outlineLvl w:val="9"/>
    </w:pPr>
    <w:rPr>
      <w:rFonts w:ascii="等线 Light" w:hAnsi="等线 Light" w:eastAsia="等线 Light" w:cs="黑体"/>
      <w:color w:val="2E5394"/>
      <w:kern w:val="0"/>
      <w:szCs w:val="28"/>
    </w:rPr>
  </w:style>
  <w:style w:type="paragraph" w:customStyle="1" w:styleId="28">
    <w:name w:val="列表段落1"/>
    <w:basedOn w:val="1"/>
    <w:qFormat/>
    <w:uiPriority w:val="99"/>
    <w:pPr>
      <w:ind w:firstLine="420" w:firstLineChars="200"/>
    </w:pPr>
  </w:style>
  <w:style w:type="paragraph" w:customStyle="1" w:styleId="29">
    <w:name w:val="修订1"/>
    <w:hidden/>
    <w:semiHidden/>
    <w:qFormat/>
    <w:uiPriority w:val="99"/>
    <w:rPr>
      <w:rFonts w:ascii="宋体" w:hAnsi="宋体" w:eastAsia="宋体" w:cs="宋体"/>
      <w:sz w:val="24"/>
      <w:szCs w:val="24"/>
      <w:lang w:val="en-US" w:eastAsia="zh-CN" w:bidi="ar-SA"/>
    </w:rPr>
  </w:style>
  <w:style w:type="paragraph" w:customStyle="1" w:styleId="30">
    <w:name w:val="列表段落2"/>
    <w:basedOn w:val="1"/>
    <w:qFormat/>
    <w:uiPriority w:val="99"/>
    <w:pPr>
      <w:ind w:firstLine="420" w:firstLineChars="200"/>
    </w:pPr>
  </w:style>
  <w:style w:type="paragraph" w:customStyle="1" w:styleId="31">
    <w:name w:val="列出段落1"/>
    <w:basedOn w:val="1"/>
    <w:unhideWhenUsed/>
    <w:qFormat/>
    <w:uiPriority w:val="99"/>
    <w:pPr>
      <w:ind w:firstLine="420" w:firstLineChars="200"/>
    </w:pPr>
  </w:style>
  <w:style w:type="paragraph" w:customStyle="1" w:styleId="32">
    <w:name w:val="修订2"/>
    <w:hidden/>
    <w:semiHidden/>
    <w:qFormat/>
    <w:uiPriority w:val="99"/>
    <w:rPr>
      <w:rFonts w:ascii="宋体" w:hAnsi="宋体" w:eastAsia="宋体" w:cs="宋体"/>
      <w:sz w:val="24"/>
      <w:szCs w:val="24"/>
      <w:lang w:val="en-US" w:eastAsia="zh-CN" w:bidi="ar-SA"/>
    </w:rPr>
  </w:style>
  <w:style w:type="character" w:customStyle="1" w:styleId="33">
    <w:name w:val="标题 1 字符"/>
    <w:basedOn w:val="20"/>
    <w:link w:val="3"/>
    <w:qFormat/>
    <w:uiPriority w:val="9"/>
    <w:rPr>
      <w:rFonts w:ascii="宋体" w:hAnsi="宋体" w:eastAsia="宋体" w:cs="宋体"/>
      <w:b/>
      <w:bCs/>
      <w:kern w:val="44"/>
      <w:sz w:val="28"/>
      <w:szCs w:val="44"/>
    </w:rPr>
  </w:style>
  <w:style w:type="character" w:customStyle="1" w:styleId="34">
    <w:name w:val="标题 2 字符"/>
    <w:basedOn w:val="20"/>
    <w:link w:val="4"/>
    <w:qFormat/>
    <w:uiPriority w:val="9"/>
    <w:rPr>
      <w:rFonts w:ascii="等线 Light" w:hAnsi="等线 Light" w:eastAsia="黑体" w:cs="黑体"/>
      <w:b/>
      <w:bCs/>
      <w:kern w:val="0"/>
      <w:sz w:val="24"/>
      <w:szCs w:val="32"/>
    </w:rPr>
  </w:style>
  <w:style w:type="character" w:customStyle="1" w:styleId="35">
    <w:name w:val="标题 3 字符"/>
    <w:basedOn w:val="20"/>
    <w:link w:val="5"/>
    <w:qFormat/>
    <w:uiPriority w:val="9"/>
    <w:rPr>
      <w:rFonts w:ascii="宋体" w:hAnsi="宋体" w:eastAsia="楷体" w:cs="宋体"/>
      <w:b/>
      <w:bCs/>
      <w:kern w:val="0"/>
      <w:sz w:val="24"/>
      <w:szCs w:val="32"/>
    </w:rPr>
  </w:style>
  <w:style w:type="character" w:customStyle="1" w:styleId="36">
    <w:name w:val="正文文本缩进 2 字符"/>
    <w:basedOn w:val="20"/>
    <w:link w:val="12"/>
    <w:qFormat/>
    <w:uiPriority w:val="0"/>
    <w:rPr>
      <w:rFonts w:ascii="Times New Roman" w:hAnsi="Times New Roman" w:eastAsia="宋体" w:cs="Times New Roman"/>
      <w:szCs w:val="20"/>
    </w:rPr>
  </w:style>
  <w:style w:type="character" w:customStyle="1" w:styleId="37">
    <w:name w:val="页脚 字符"/>
    <w:basedOn w:val="20"/>
    <w:link w:val="14"/>
    <w:qFormat/>
    <w:uiPriority w:val="0"/>
    <w:rPr>
      <w:rFonts w:ascii="Times New Roman" w:hAnsi="Times New Roman" w:eastAsia="宋体" w:cs="Times New Roman"/>
      <w:sz w:val="18"/>
      <w:szCs w:val="20"/>
    </w:rPr>
  </w:style>
  <w:style w:type="character" w:customStyle="1" w:styleId="38">
    <w:name w:val="页眉 字符"/>
    <w:basedOn w:val="20"/>
    <w:link w:val="15"/>
    <w:qFormat/>
    <w:uiPriority w:val="99"/>
    <w:rPr>
      <w:rFonts w:ascii="宋体" w:hAnsi="宋体" w:eastAsia="宋体" w:cs="宋体"/>
      <w:kern w:val="0"/>
      <w:sz w:val="18"/>
      <w:szCs w:val="18"/>
    </w:rPr>
  </w:style>
  <w:style w:type="character" w:customStyle="1" w:styleId="39">
    <w:name w:val="批注框文本 字符"/>
    <w:basedOn w:val="20"/>
    <w:link w:val="13"/>
    <w:semiHidden/>
    <w:qFormat/>
    <w:uiPriority w:val="99"/>
    <w:rPr>
      <w:rFonts w:ascii="宋体" w:hAnsi="宋体" w:eastAsia="宋体" w:cs="宋体"/>
      <w:sz w:val="18"/>
      <w:szCs w:val="18"/>
    </w:rPr>
  </w:style>
  <w:style w:type="character" w:customStyle="1" w:styleId="40">
    <w:name w:val="批注文字 字符"/>
    <w:basedOn w:val="20"/>
    <w:link w:val="7"/>
    <w:semiHidden/>
    <w:qFormat/>
    <w:uiPriority w:val="99"/>
    <w:rPr>
      <w:rFonts w:ascii="宋体" w:hAnsi="宋体" w:eastAsia="宋体" w:cs="宋体"/>
      <w:sz w:val="24"/>
      <w:szCs w:val="24"/>
    </w:rPr>
  </w:style>
  <w:style w:type="character" w:customStyle="1" w:styleId="41">
    <w:name w:val="批注主题 字符"/>
    <w:basedOn w:val="40"/>
    <w:link w:val="6"/>
    <w:semiHidden/>
    <w:qFormat/>
    <w:uiPriority w:val="99"/>
    <w:rPr>
      <w:rFonts w:ascii="宋体" w:hAnsi="宋体" w:eastAsia="宋体" w:cs="宋体"/>
      <w:b/>
      <w:bCs/>
      <w:sz w:val="24"/>
      <w:szCs w:val="24"/>
    </w:rPr>
  </w:style>
  <w:style w:type="character" w:customStyle="1" w:styleId="42">
    <w:name w:val="NormalCharacter"/>
    <w:semiHidden/>
    <w:qFormat/>
    <w:uiPriority w:val="99"/>
    <w:rPr>
      <w:rFonts w:ascii="Calibri" w:hAnsi="Calibri"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2279</Words>
  <Characters>12994</Characters>
  <Lines>108</Lines>
  <Paragraphs>30</Paragraphs>
  <ScaleCrop>false</ScaleCrop>
  <LinksUpToDate>false</LinksUpToDate>
  <CharactersWithSpaces>15243</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2021-01-10T14:06:00Z</dcterms:created>
  <dc:creator>553830409@qq.com</dc:creator>
  <cp:lastModifiedBy>wangjiaqiang</cp:lastModifiedBy>
  <cp:lastPrinted>2020-12-25T09:23:00Z</cp:lastPrinted>
  <dcterms:modified xsi:type="dcterms:W3CDTF">2021-12-01T03:19:58Z</dcterms:modified>
  <dc:title>大兴区“十四五”时期金融业</dc:title>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