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黑体" w:hAnsi="黑体" w:eastAsia="黑体"/>
          <w:color w:val="FF0000"/>
          <w:szCs w:val="32"/>
        </w:rPr>
      </w:pPr>
      <w:bookmarkStart w:id="3" w:name="_GoBack"/>
      <w:bookmarkStart w:id="0" w:name="_Toc47710454"/>
      <w:bookmarkStart w:id="1" w:name="_Toc86521598"/>
      <w:r>
        <w:rPr>
          <w:rFonts w:hint="eastAsia" w:ascii="黑体" w:hAnsi="黑体" w:eastAsia="黑体"/>
          <w:szCs w:val="32"/>
        </w:rPr>
        <w:t>五、规划实施</w:t>
      </w:r>
      <w:bookmarkEnd w:id="3"/>
      <w:bookmarkEnd w:id="0"/>
      <w:bookmarkEnd w:id="1"/>
      <w:r>
        <w:rPr>
          <w:rFonts w:ascii="黑体" w:hAnsi="黑体" w:eastAsia="黑体"/>
          <w:szCs w:val="32"/>
        </w:rPr>
        <w:tab/>
      </w:r>
    </w:p>
    <w:p>
      <w:pPr>
        <w:adjustRightInd w:val="0"/>
        <w:snapToGrid w:val="0"/>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本规划是指导全区教育改革与发展的纲领性文件，必须周密部署、精心组织、落实责任、强化监督，确保规划内容落到实处。教育系统各单位要从实际出发，制订本单位实施规划的具体方案、年度计划和政策措施，分阶段、分步骤组织实施。各单位要把本规划作为项目审批和安排资金的重要依据。</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本规划确定的各项指标要纳入全区综合评价和绩效考核体系。区教委对该规划实施年度监测，发布年度监测报告。区教育督导部门对该规划主要任务实施情况定期开展督导，并向社会公布督导检查报告。配合区人大、政协定期开展实施情况的监督检查。规划实施进展情况经法定程序批准后及时向社会公布，接受社会监督。加强宣传引导，进一步统一思想、凝聚各方共识，为规划实施创造良好的社会环境和舆论氛围。</w:t>
      </w:r>
      <w:r>
        <w:br w:type="page"/>
      </w:r>
    </w:p>
    <w:p>
      <w:pPr>
        <w:rPr>
          <w:rFonts w:ascii="黑体" w:hAnsi="黑体" w:eastAsia="黑体" w:cs="黑体"/>
        </w:rPr>
      </w:pPr>
      <w:bookmarkStart w:id="2" w:name="_Toc86521599"/>
      <w:r>
        <w:rPr>
          <w:rStyle w:val="6"/>
          <w:rFonts w:hint="eastAsia" w:ascii="黑体" w:hAnsi="黑体" w:eastAsia="黑体" w:cs="黑体"/>
          <w:b w:val="0"/>
          <w:bCs w:val="0"/>
          <w:sz w:val="32"/>
          <w:szCs w:val="32"/>
        </w:rPr>
        <w:t>附件</w:t>
      </w:r>
      <w:bookmarkEnd w:id="2"/>
      <w:r>
        <w:rPr>
          <w:rFonts w:hint="eastAsia" w:ascii="黑体" w:hAnsi="黑体" w:eastAsia="黑体" w:cs="黑体"/>
        </w:rPr>
        <w:t>:</w:t>
      </w:r>
    </w:p>
    <w:p>
      <w:pPr>
        <w:spacing w:after="312" w:afterLines="100"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大兴区“十四五”时期重点项目一览表</w:t>
      </w:r>
    </w:p>
    <w:tbl>
      <w:tblPr>
        <w:tblStyle w:val="4"/>
        <w:tblW w:w="8676"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5"/>
        <w:gridCol w:w="2414"/>
        <w:gridCol w:w="5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 w:hRule="atLeast"/>
        </w:trPr>
        <w:tc>
          <w:tcPr>
            <w:tcW w:w="705" w:type="dxa"/>
            <w:vAlign w:val="center"/>
          </w:tcPr>
          <w:p>
            <w:pPr>
              <w:adjustRightInd w:val="0"/>
              <w:snapToGrid w:val="0"/>
              <w:jc w:val="center"/>
              <w:rPr>
                <w:rFonts w:ascii="黑体" w:hAnsi="黑体" w:eastAsia="黑体"/>
                <w:sz w:val="24"/>
              </w:rPr>
            </w:pPr>
            <w:r>
              <w:rPr>
                <w:rFonts w:ascii="黑体" w:hAnsi="黑体" w:eastAsia="黑体"/>
                <w:sz w:val="24"/>
              </w:rPr>
              <w:t>序号</w:t>
            </w:r>
          </w:p>
        </w:tc>
        <w:tc>
          <w:tcPr>
            <w:tcW w:w="2414" w:type="dxa"/>
            <w:vAlign w:val="center"/>
          </w:tcPr>
          <w:p>
            <w:pPr>
              <w:adjustRightInd w:val="0"/>
              <w:snapToGrid w:val="0"/>
              <w:jc w:val="center"/>
              <w:rPr>
                <w:rFonts w:ascii="黑体" w:hAnsi="黑体" w:eastAsia="黑体"/>
                <w:sz w:val="24"/>
              </w:rPr>
            </w:pPr>
            <w:r>
              <w:rPr>
                <w:rFonts w:ascii="黑体" w:hAnsi="黑体" w:eastAsia="黑体"/>
                <w:sz w:val="24"/>
              </w:rPr>
              <w:t>重点项目</w:t>
            </w:r>
          </w:p>
        </w:tc>
        <w:tc>
          <w:tcPr>
            <w:tcW w:w="5557" w:type="dxa"/>
            <w:vAlign w:val="center"/>
          </w:tcPr>
          <w:p>
            <w:pPr>
              <w:adjustRightInd w:val="0"/>
              <w:snapToGrid w:val="0"/>
              <w:jc w:val="center"/>
              <w:rPr>
                <w:rFonts w:ascii="黑体" w:hAnsi="黑体" w:eastAsia="黑体"/>
                <w:sz w:val="24"/>
              </w:rPr>
            </w:pPr>
            <w:r>
              <w:rPr>
                <w:rFonts w:hint="eastAsia" w:ascii="黑体" w:hAnsi="黑体" w:eastAsia="黑体"/>
                <w:sz w:val="24"/>
              </w:rPr>
              <w:t>主要</w:t>
            </w:r>
            <w:r>
              <w:rPr>
                <w:rFonts w:ascii="黑体" w:hAnsi="黑体" w:eastAsia="黑体"/>
                <w:sz w:val="24"/>
              </w:rPr>
              <w:t>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705" w:type="dxa"/>
            <w:vAlign w:val="center"/>
          </w:tcPr>
          <w:p>
            <w:pPr>
              <w:spacing w:line="340" w:lineRule="exact"/>
              <w:jc w:val="center"/>
              <w:rPr>
                <w:sz w:val="24"/>
              </w:rPr>
            </w:pPr>
            <w:r>
              <w:rPr>
                <w:rFonts w:hint="eastAsia"/>
                <w:sz w:val="24"/>
              </w:rPr>
              <w:t>1</w:t>
            </w:r>
          </w:p>
        </w:tc>
        <w:tc>
          <w:tcPr>
            <w:tcW w:w="2414" w:type="dxa"/>
            <w:vAlign w:val="center"/>
          </w:tcPr>
          <w:p>
            <w:pPr>
              <w:spacing w:line="340" w:lineRule="exact"/>
              <w:jc w:val="left"/>
              <w:rPr>
                <w:rFonts w:ascii="仿宋_GB2312"/>
                <w:b/>
                <w:sz w:val="24"/>
              </w:rPr>
            </w:pPr>
            <w:r>
              <w:rPr>
                <w:rFonts w:hint="eastAsia" w:ascii="仿宋_GB2312" w:hAnsi="微软雅黑" w:cs="宋体"/>
                <w:b/>
                <w:color w:val="000000" w:themeColor="text1"/>
                <w:sz w:val="24"/>
                <w14:textFill>
                  <w14:solidFill>
                    <w14:schemeClr w14:val="tx1"/>
                  </w14:solidFill>
                </w14:textFill>
              </w:rPr>
              <w:t>中小学生综合实践活动体系建设计划</w:t>
            </w:r>
          </w:p>
        </w:tc>
        <w:tc>
          <w:tcPr>
            <w:tcW w:w="5557" w:type="dxa"/>
            <w:vAlign w:val="center"/>
          </w:tcPr>
          <w:p>
            <w:pPr>
              <w:numPr>
                <w:ilvl w:val="255"/>
                <w:numId w:val="0"/>
              </w:numPr>
              <w:spacing w:line="340" w:lineRule="exact"/>
              <w:rPr>
                <w:rFonts w:ascii="仿宋_GB2312" w:cs="宋体" w:hAnsiTheme="minorEastAsia"/>
                <w:color w:val="000000" w:themeColor="text1"/>
                <w:sz w:val="24"/>
                <w14:textFill>
                  <w14:solidFill>
                    <w14:schemeClr w14:val="tx1"/>
                  </w14:solidFill>
                </w14:textFill>
              </w:rPr>
            </w:pPr>
            <w:r>
              <w:rPr>
                <w:rFonts w:hint="eastAsia" w:ascii="仿宋_GB2312"/>
                <w:sz w:val="24"/>
              </w:rPr>
              <w:t>1.统筹规划建设国际中小学生综合实践基地，中小学生科技特色的综合活动中心等研学基地和研学营地。</w:t>
            </w:r>
          </w:p>
          <w:p>
            <w:pPr>
              <w:numPr>
                <w:ilvl w:val="255"/>
                <w:numId w:val="0"/>
              </w:numPr>
              <w:spacing w:line="340" w:lineRule="exact"/>
              <w:rPr>
                <w:rFonts w:ascii="仿宋_GB2312" w:cs="宋体" w:hAnsiTheme="minorEastAsia"/>
                <w:sz w:val="24"/>
              </w:rPr>
            </w:pPr>
            <w:r>
              <w:rPr>
                <w:rFonts w:hint="eastAsia" w:ascii="仿宋_GB2312"/>
                <w:sz w:val="24"/>
              </w:rPr>
              <w:t>2.全面</w:t>
            </w:r>
            <w:r>
              <w:rPr>
                <w:rFonts w:hint="eastAsia" w:ascii="仿宋_GB2312" w:hAnsi="宋体" w:cs="宋体"/>
                <w:sz w:val="24"/>
              </w:rPr>
              <w:t>启动“兴星</w:t>
            </w:r>
            <w:r>
              <w:rPr>
                <w:rFonts w:hint="eastAsia" w:ascii="仿宋_GB2312" w:hAnsi="宋体" w:eastAsia="宋体" w:cs="宋体"/>
                <w:sz w:val="24"/>
              </w:rPr>
              <w:t>•</w:t>
            </w:r>
            <w:r>
              <w:rPr>
                <w:rFonts w:hint="eastAsia" w:ascii="仿宋_GB2312" w:hAnsi="宋体" w:cs="宋体"/>
                <w:sz w:val="24"/>
              </w:rPr>
              <w:t>远航”教育计划</w:t>
            </w:r>
            <w:r>
              <w:rPr>
                <w:rFonts w:hint="eastAsia" w:ascii="仿宋_GB2312"/>
                <w:sz w:val="24"/>
              </w:rPr>
              <w:t>。加强与北京中小学生科技创新学院合作关系，深度参与“翱翔计划”。</w:t>
            </w:r>
          </w:p>
          <w:p>
            <w:pPr>
              <w:numPr>
                <w:ilvl w:val="255"/>
                <w:numId w:val="0"/>
              </w:numPr>
              <w:spacing w:line="340" w:lineRule="exact"/>
              <w:rPr>
                <w:rFonts w:ascii="仿宋_GB2312" w:cs="宋体" w:hAnsiTheme="minorEastAsia"/>
                <w:sz w:val="24"/>
              </w:rPr>
            </w:pPr>
            <w:r>
              <w:rPr>
                <w:rFonts w:hint="eastAsia" w:ascii="仿宋_GB2312"/>
                <w:sz w:val="24"/>
              </w:rPr>
              <w:t>3.组织承办举办全国中小学生科技创新大赛、“一带一路”中小学生科技创新大赛。</w:t>
            </w:r>
          </w:p>
          <w:p>
            <w:pPr>
              <w:spacing w:line="340" w:lineRule="exact"/>
              <w:rPr>
                <w:rFonts w:ascii="仿宋_GB2312" w:cs="仿宋_GB2312"/>
                <w:sz w:val="24"/>
              </w:rPr>
            </w:pPr>
            <w:r>
              <w:rPr>
                <w:rFonts w:hint="eastAsia" w:ascii="仿宋_GB2312"/>
                <w:sz w:val="24"/>
              </w:rPr>
              <w:t>4.整合社会资源，开展课程及活动设计。利用权威媒体，开展系列宣传教育活动。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5" w:hRule="atLeast"/>
        </w:trPr>
        <w:tc>
          <w:tcPr>
            <w:tcW w:w="705" w:type="dxa"/>
            <w:vAlign w:val="center"/>
          </w:tcPr>
          <w:p>
            <w:pPr>
              <w:spacing w:line="340" w:lineRule="exact"/>
              <w:jc w:val="center"/>
              <w:rPr>
                <w:sz w:val="24"/>
              </w:rPr>
            </w:pPr>
            <w:r>
              <w:rPr>
                <w:rFonts w:hint="eastAsia"/>
                <w:sz w:val="24"/>
              </w:rPr>
              <w:t>2</w:t>
            </w:r>
          </w:p>
        </w:tc>
        <w:tc>
          <w:tcPr>
            <w:tcW w:w="2414" w:type="dxa"/>
            <w:vAlign w:val="center"/>
          </w:tcPr>
          <w:p>
            <w:pPr>
              <w:spacing w:line="340" w:lineRule="exact"/>
              <w:jc w:val="left"/>
              <w:rPr>
                <w:rFonts w:ascii="仿宋_GB2312"/>
                <w:b/>
                <w:sz w:val="24"/>
              </w:rPr>
            </w:pPr>
            <w:r>
              <w:rPr>
                <w:rFonts w:hint="eastAsia" w:ascii="仿宋_GB2312" w:hAnsi="楷体" w:cs="宋体"/>
                <w:b/>
                <w:bCs/>
                <w:color w:val="000000" w:themeColor="text1"/>
                <w:kern w:val="36"/>
                <w:sz w:val="24"/>
                <w14:textFill>
                  <w14:solidFill>
                    <w14:schemeClr w14:val="tx1"/>
                  </w14:solidFill>
                </w14:textFill>
              </w:rPr>
              <w:t>中小学拔尖创新人才培养计划</w:t>
            </w:r>
          </w:p>
        </w:tc>
        <w:tc>
          <w:tcPr>
            <w:tcW w:w="5557" w:type="dxa"/>
            <w:vAlign w:val="center"/>
          </w:tcPr>
          <w:p>
            <w:pPr>
              <w:adjustRightInd w:val="0"/>
              <w:snapToGrid w:val="0"/>
              <w:spacing w:line="340" w:lineRule="exact"/>
              <w:rPr>
                <w:rFonts w:ascii="仿宋_GB2312" w:cs="宋体" w:hAnsiTheme="minorEastAsia"/>
                <w:bCs/>
                <w:color w:val="000000" w:themeColor="text1"/>
                <w:kern w:val="36"/>
                <w:sz w:val="24"/>
                <w14:textFill>
                  <w14:solidFill>
                    <w14:schemeClr w14:val="tx1"/>
                  </w14:solidFill>
                </w14:textFill>
              </w:rPr>
            </w:pPr>
            <w:r>
              <w:rPr>
                <w:rFonts w:hint="eastAsia" w:ascii="仿宋_GB2312" w:cs="宋体" w:hAnsiTheme="minorEastAsia"/>
                <w:bCs/>
                <w:color w:val="000000" w:themeColor="text1"/>
                <w:kern w:val="36"/>
                <w:sz w:val="24"/>
                <w14:textFill>
                  <w14:solidFill>
                    <w14:schemeClr w14:val="tx1"/>
                  </w14:solidFill>
                </w14:textFill>
              </w:rPr>
              <w:t>1.组建中小学拔尖创新人才工作领导小组，成立专家委员会，研究总结北京市开展超常教育的经验及模式，设定行动目标和路线图。</w:t>
            </w:r>
          </w:p>
          <w:p>
            <w:pPr>
              <w:adjustRightInd w:val="0"/>
              <w:snapToGrid w:val="0"/>
              <w:spacing w:line="340" w:lineRule="exact"/>
              <w:rPr>
                <w:rFonts w:ascii="仿宋_GB2312" w:cs="宋体" w:hAnsiTheme="minorEastAsia"/>
                <w:color w:val="000000" w:themeColor="text1"/>
                <w:sz w:val="24"/>
                <w14:textFill>
                  <w14:solidFill>
                    <w14:schemeClr w14:val="tx1"/>
                  </w14:solidFill>
                </w14:textFill>
              </w:rPr>
            </w:pPr>
            <w:r>
              <w:rPr>
                <w:rFonts w:hint="eastAsia" w:ascii="仿宋_GB2312" w:cs="宋体" w:hAnsiTheme="minorEastAsia"/>
                <w:bCs/>
                <w:color w:val="000000" w:themeColor="text1"/>
                <w:kern w:val="36"/>
                <w:sz w:val="24"/>
                <w14:textFill>
                  <w14:solidFill>
                    <w14:schemeClr w14:val="tx1"/>
                  </w14:solidFill>
                </w14:textFill>
              </w:rPr>
              <w:t>2.专项资金支持有条件的1-2所学校探索拔尖创新人才早期发展与识别、引导与培养的路径机制。</w:t>
            </w:r>
          </w:p>
          <w:p>
            <w:pPr>
              <w:adjustRightInd w:val="0"/>
              <w:snapToGrid w:val="0"/>
              <w:spacing w:line="340" w:lineRule="exact"/>
              <w:rPr>
                <w:rFonts w:ascii="仿宋_GB2312" w:cs="宋体" w:hAnsiTheme="minorEastAsia"/>
                <w:color w:val="FF0000"/>
                <w:sz w:val="24"/>
                <w:lang w:val="zh-CN"/>
              </w:rPr>
            </w:pPr>
            <w:r>
              <w:rPr>
                <w:rFonts w:hint="eastAsia" w:ascii="仿宋_GB2312" w:cs="宋体" w:hAnsiTheme="minorEastAsia"/>
                <w:color w:val="000000" w:themeColor="text1"/>
                <w:sz w:val="24"/>
                <w14:textFill>
                  <w14:solidFill>
                    <w14:schemeClr w14:val="tx1"/>
                  </w14:solidFill>
                </w14:textFill>
              </w:rPr>
              <w:t>3.</w:t>
            </w:r>
            <w:r>
              <w:rPr>
                <w:rFonts w:hint="eastAsia" w:ascii="仿宋_GB2312" w:cs="宋体" w:hAnsiTheme="minorEastAsia"/>
                <w:color w:val="000000" w:themeColor="text1"/>
                <w:sz w:val="24"/>
                <w:lang w:val="zh-CN"/>
                <w14:textFill>
                  <w14:solidFill>
                    <w14:schemeClr w14:val="tx1"/>
                  </w14:solidFill>
                </w14:textFill>
              </w:rPr>
              <w:t>开发与建设拔尖创新人才课程及教学模式。建立灵活的选拔、教学与管理系统。</w:t>
            </w:r>
          </w:p>
          <w:p>
            <w:pPr>
              <w:adjustRightInd w:val="0"/>
              <w:snapToGrid w:val="0"/>
              <w:spacing w:line="340" w:lineRule="exact"/>
              <w:rPr>
                <w:rFonts w:ascii="仿宋_GB2312" w:cs="宋体" w:hAnsiTheme="minorEastAsia"/>
                <w:bCs/>
                <w:color w:val="000000" w:themeColor="text1"/>
                <w:kern w:val="36"/>
                <w:sz w:val="24"/>
                <w14:textFill>
                  <w14:solidFill>
                    <w14:schemeClr w14:val="tx1"/>
                  </w14:solidFill>
                </w14:textFill>
              </w:rPr>
            </w:pPr>
            <w:r>
              <w:rPr>
                <w:rFonts w:hint="eastAsia" w:ascii="仿宋_GB2312" w:cs="Arial" w:hAnsiTheme="minorEastAsia"/>
                <w:color w:val="000000" w:themeColor="text1"/>
                <w:sz w:val="24"/>
                <w:shd w:val="clear" w:color="auto" w:fill="FFFFFF"/>
                <w14:textFill>
                  <w14:solidFill>
                    <w14:schemeClr w14:val="tx1"/>
                  </w14:solidFill>
                </w14:textFill>
              </w:rPr>
              <w:t>4.贯通区内外教育资源，有效利用高校教育资源，</w:t>
            </w:r>
            <w:r>
              <w:rPr>
                <w:rFonts w:hint="eastAsia" w:ascii="仿宋_GB2312" w:cs="宋体" w:hAnsiTheme="minorEastAsia"/>
                <w:color w:val="000000" w:themeColor="text1"/>
                <w:sz w:val="24"/>
                <w14:textFill>
                  <w14:solidFill>
                    <w14:schemeClr w14:val="tx1"/>
                  </w14:solidFill>
                </w14:textFill>
              </w:rPr>
              <w:t>引进国际资源，</w:t>
            </w:r>
            <w:r>
              <w:rPr>
                <w:rFonts w:hint="eastAsia" w:ascii="仿宋_GB2312" w:cs="宋体" w:hAnsiTheme="minorEastAsia"/>
                <w:bCs/>
                <w:color w:val="000000" w:themeColor="text1"/>
                <w:kern w:val="36"/>
                <w:sz w:val="24"/>
                <w14:textFill>
                  <w14:solidFill>
                    <w14:schemeClr w14:val="tx1"/>
                  </w14:solidFill>
                </w14:textFill>
              </w:rPr>
              <w:t>探索大中小各学段有机衔接的拔尖创新人才培养模式。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705" w:type="dxa"/>
            <w:vAlign w:val="center"/>
          </w:tcPr>
          <w:p>
            <w:pPr>
              <w:spacing w:line="340" w:lineRule="exact"/>
              <w:jc w:val="center"/>
              <w:rPr>
                <w:sz w:val="24"/>
              </w:rPr>
            </w:pPr>
            <w:r>
              <w:rPr>
                <w:rFonts w:hint="eastAsia"/>
                <w:sz w:val="24"/>
              </w:rPr>
              <w:t>3</w:t>
            </w:r>
          </w:p>
        </w:tc>
        <w:tc>
          <w:tcPr>
            <w:tcW w:w="2414" w:type="dxa"/>
            <w:vAlign w:val="center"/>
          </w:tcPr>
          <w:p>
            <w:pPr>
              <w:spacing w:line="340" w:lineRule="exact"/>
              <w:ind w:left="241" w:hanging="241" w:hangingChars="100"/>
              <w:rPr>
                <w:rFonts w:ascii="仿宋_GB2312" w:hAnsi="宋体"/>
                <w:b/>
                <w:color w:val="000000" w:themeColor="text1"/>
                <w:sz w:val="24"/>
                <w14:textFill>
                  <w14:solidFill>
                    <w14:schemeClr w14:val="tx1"/>
                  </w14:solidFill>
                </w14:textFill>
              </w:rPr>
            </w:pPr>
          </w:p>
          <w:p>
            <w:pPr>
              <w:spacing w:line="340" w:lineRule="exact"/>
              <w:ind w:left="241" w:hanging="241" w:hangingChars="100"/>
              <w:rPr>
                <w:rFonts w:ascii="仿宋_GB2312" w:hAnsi="宋体"/>
                <w:b/>
                <w:color w:val="000000" w:themeColor="text1"/>
                <w:sz w:val="24"/>
                <w14:textFill>
                  <w14:solidFill>
                    <w14:schemeClr w14:val="tx1"/>
                  </w14:solidFill>
                </w14:textFill>
              </w:rPr>
            </w:pPr>
          </w:p>
          <w:p>
            <w:pPr>
              <w:spacing w:line="340" w:lineRule="exact"/>
              <w:ind w:left="241" w:hanging="241" w:hangingChars="100"/>
              <w:rPr>
                <w:rFonts w:ascii="仿宋_GB2312" w:hAnsi="宋体"/>
                <w:b/>
                <w:color w:val="000000" w:themeColor="text1"/>
                <w:sz w:val="24"/>
                <w14:textFill>
                  <w14:solidFill>
                    <w14:schemeClr w14:val="tx1"/>
                  </w14:solidFill>
                </w14:textFill>
              </w:rPr>
            </w:pPr>
          </w:p>
          <w:p>
            <w:pPr>
              <w:spacing w:line="340" w:lineRule="exact"/>
              <w:ind w:left="241" w:hanging="241" w:hangingChars="100"/>
              <w:rPr>
                <w:rFonts w:ascii="仿宋_GB2312" w:hAnsi="宋体"/>
                <w:b/>
                <w:color w:val="000000" w:themeColor="text1"/>
                <w:sz w:val="24"/>
                <w14:textFill>
                  <w14:solidFill>
                    <w14:schemeClr w14:val="tx1"/>
                  </w14:solidFill>
                </w14:textFill>
              </w:rPr>
            </w:pPr>
          </w:p>
          <w:p>
            <w:pPr>
              <w:spacing w:line="340" w:lineRule="exact"/>
              <w:ind w:left="241" w:hanging="241" w:hangingChars="100"/>
              <w:rPr>
                <w:rFonts w:ascii="仿宋_GB2312"/>
                <w:b/>
                <w:color w:val="000000" w:themeColor="text1"/>
                <w:sz w:val="24"/>
                <w14:textFill>
                  <w14:solidFill>
                    <w14:schemeClr w14:val="tx1"/>
                  </w14:solidFill>
                </w14:textFill>
              </w:rPr>
            </w:pPr>
            <w:r>
              <w:rPr>
                <w:rFonts w:hint="eastAsia" w:ascii="仿宋_GB2312" w:hAnsi="宋体"/>
                <w:b/>
                <w:color w:val="000000" w:themeColor="text1"/>
                <w:sz w:val="24"/>
                <w14:textFill>
                  <w14:solidFill>
                    <w14:schemeClr w14:val="tx1"/>
                  </w14:solidFill>
                </w14:textFill>
              </w:rPr>
              <w:t>深化</w:t>
            </w:r>
            <w:r>
              <w:rPr>
                <w:rFonts w:hint="eastAsia" w:ascii="仿宋_GB2312"/>
                <w:b/>
                <w:color w:val="000000" w:themeColor="text1"/>
                <w:sz w:val="24"/>
                <w14:textFill>
                  <w14:solidFill>
                    <w14:schemeClr w14:val="tx1"/>
                  </w14:solidFill>
                </w14:textFill>
              </w:rPr>
              <w:t>集团化办学改革</w:t>
            </w:r>
          </w:p>
          <w:p>
            <w:pPr>
              <w:spacing w:line="340" w:lineRule="exact"/>
              <w:ind w:left="241" w:hanging="241" w:hangingChars="100"/>
              <w:rPr>
                <w:rFonts w:ascii="仿宋_GB2312"/>
                <w:b/>
                <w:color w:val="000000" w:themeColor="text1"/>
                <w:sz w:val="24"/>
                <w14:textFill>
                  <w14:solidFill>
                    <w14:schemeClr w14:val="tx1"/>
                  </w14:solidFill>
                </w14:textFill>
              </w:rPr>
            </w:pPr>
            <w:r>
              <w:rPr>
                <w:rFonts w:hint="eastAsia" w:ascii="仿宋_GB2312"/>
                <w:b/>
                <w:color w:val="000000" w:themeColor="text1"/>
                <w:sz w:val="24"/>
                <w14:textFill>
                  <w14:solidFill>
                    <w14:schemeClr w14:val="tx1"/>
                  </w14:solidFill>
                </w14:textFill>
              </w:rPr>
              <w:t>项目</w:t>
            </w:r>
          </w:p>
          <w:p>
            <w:pPr>
              <w:spacing w:line="340" w:lineRule="exact"/>
              <w:ind w:left="241" w:hanging="241" w:hangingChars="100"/>
              <w:rPr>
                <w:rFonts w:ascii="仿宋_GB2312"/>
                <w:b/>
                <w:color w:val="000000" w:themeColor="text1"/>
                <w:sz w:val="24"/>
                <w14:textFill>
                  <w14:solidFill>
                    <w14:schemeClr w14:val="tx1"/>
                  </w14:solidFill>
                </w14:textFill>
              </w:rPr>
            </w:pPr>
          </w:p>
          <w:p>
            <w:pPr>
              <w:spacing w:line="340" w:lineRule="exact"/>
              <w:ind w:left="241" w:hanging="241" w:hangingChars="100"/>
              <w:rPr>
                <w:rFonts w:ascii="仿宋_GB2312"/>
                <w:b/>
                <w:color w:val="000000" w:themeColor="text1"/>
                <w:sz w:val="24"/>
                <w14:textFill>
                  <w14:solidFill>
                    <w14:schemeClr w14:val="tx1"/>
                  </w14:solidFill>
                </w14:textFill>
              </w:rPr>
            </w:pPr>
          </w:p>
          <w:p>
            <w:pPr>
              <w:spacing w:line="340" w:lineRule="exact"/>
              <w:ind w:left="241" w:hanging="241" w:hangingChars="100"/>
              <w:rPr>
                <w:rFonts w:ascii="仿宋_GB2312"/>
                <w:b/>
                <w:color w:val="000000" w:themeColor="text1"/>
                <w:sz w:val="24"/>
                <w14:textFill>
                  <w14:solidFill>
                    <w14:schemeClr w14:val="tx1"/>
                  </w14:solidFill>
                </w14:textFill>
              </w:rPr>
            </w:pPr>
          </w:p>
          <w:p>
            <w:pPr>
              <w:spacing w:line="340" w:lineRule="exact"/>
              <w:ind w:left="241" w:hanging="241" w:hangingChars="100"/>
              <w:rPr>
                <w:rFonts w:ascii="仿宋_GB2312"/>
                <w:b/>
                <w:color w:val="000000" w:themeColor="text1"/>
                <w:sz w:val="24"/>
                <w14:textFill>
                  <w14:solidFill>
                    <w14:schemeClr w14:val="tx1"/>
                  </w14:solidFill>
                </w14:textFill>
              </w:rPr>
            </w:pPr>
          </w:p>
          <w:p>
            <w:pPr>
              <w:spacing w:line="340" w:lineRule="exact"/>
              <w:rPr>
                <w:rFonts w:ascii="仿宋_GB2312"/>
                <w:b/>
                <w:color w:val="000000" w:themeColor="text1"/>
                <w:sz w:val="24"/>
                <w14:textFill>
                  <w14:solidFill>
                    <w14:schemeClr w14:val="tx1"/>
                  </w14:solidFill>
                </w14:textFill>
              </w:rPr>
            </w:pPr>
          </w:p>
        </w:tc>
        <w:tc>
          <w:tcPr>
            <w:tcW w:w="5557" w:type="dxa"/>
            <w:vAlign w:val="center"/>
          </w:tcPr>
          <w:p>
            <w:pPr>
              <w:adjustRightInd w:val="0"/>
              <w:snapToGrid w:val="0"/>
              <w:spacing w:line="340" w:lineRule="exact"/>
              <w:rPr>
                <w:rFonts w:ascii="仿宋_GB2312" w:hAnsiTheme="minorEastAsia" w:cstheme="minorEastAsia"/>
                <w:color w:val="000000" w:themeColor="text1"/>
                <w:sz w:val="24"/>
                <w14:textFill>
                  <w14:solidFill>
                    <w14:schemeClr w14:val="tx1"/>
                  </w14:solidFill>
                </w14:textFill>
              </w:rPr>
            </w:pPr>
            <w:r>
              <w:rPr>
                <w:rFonts w:hint="eastAsia" w:ascii="仿宋_GB2312" w:hAnsiTheme="minorEastAsia" w:cstheme="minorEastAsia"/>
                <w:color w:val="000000" w:themeColor="text1"/>
                <w:sz w:val="24"/>
                <w14:textFill>
                  <w14:solidFill>
                    <w14:schemeClr w14:val="tx1"/>
                  </w14:solidFill>
                </w14:textFill>
              </w:rPr>
              <w:t>1.</w:t>
            </w:r>
            <w:r>
              <w:rPr>
                <w:rFonts w:hint="eastAsia" w:ascii="仿宋_GB2312" w:hAnsi="仿宋" w:cs="仿宋"/>
                <w:color w:val="000000" w:themeColor="text1"/>
                <w:kern w:val="36"/>
                <w:sz w:val="24"/>
                <w14:textFill>
                  <w14:solidFill>
                    <w14:schemeClr w14:val="tx1"/>
                  </w14:solidFill>
                </w14:textFill>
              </w:rPr>
              <w:t>总结“十三五”时期教育集团办学</w:t>
            </w:r>
            <w:r>
              <w:rPr>
                <w:rFonts w:hint="eastAsia" w:ascii="仿宋_GB2312" w:hAnsi="仿宋_GB2312" w:cs="仿宋_GB2312"/>
                <w:color w:val="000000" w:themeColor="text1"/>
                <w:sz w:val="24"/>
                <w14:textFill>
                  <w14:solidFill>
                    <w14:schemeClr w14:val="tx1"/>
                  </w14:solidFill>
                </w14:textFill>
              </w:rPr>
              <w:t>改革经验，</w:t>
            </w:r>
            <w:r>
              <w:rPr>
                <w:rFonts w:hint="eastAsia" w:ascii="仿宋_GB2312" w:hAnsi="仿宋" w:cs="仿宋"/>
                <w:color w:val="000000" w:themeColor="text1"/>
                <w:kern w:val="36"/>
                <w:sz w:val="24"/>
                <w14:textFill>
                  <w14:solidFill>
                    <w14:schemeClr w14:val="tx1"/>
                  </w14:solidFill>
                </w14:textFill>
              </w:rPr>
              <w:t>引导、支持和加快教育集团的发展力度。</w:t>
            </w:r>
          </w:p>
          <w:p>
            <w:pPr>
              <w:adjustRightInd w:val="0"/>
              <w:snapToGrid w:val="0"/>
              <w:spacing w:line="340" w:lineRule="exact"/>
              <w:rPr>
                <w:rFonts w:ascii="仿宋_GB2312" w:hAnsi="宋体"/>
                <w:color w:val="000000" w:themeColor="text1"/>
                <w:sz w:val="24"/>
                <w14:textFill>
                  <w14:solidFill>
                    <w14:schemeClr w14:val="tx1"/>
                  </w14:solidFill>
                </w14:textFill>
              </w:rPr>
            </w:pPr>
            <w:r>
              <w:rPr>
                <w:rFonts w:hint="eastAsia" w:ascii="仿宋_GB2312" w:hAnsi="宋体"/>
                <w:color w:val="000000" w:themeColor="text1"/>
                <w:sz w:val="24"/>
                <w14:textFill>
                  <w14:solidFill>
                    <w14:schemeClr w14:val="tx1"/>
                  </w14:solidFill>
                </w14:textFill>
              </w:rPr>
              <w:t>2.</w:t>
            </w:r>
            <w:r>
              <w:rPr>
                <w:rFonts w:hint="eastAsia" w:ascii="仿宋_GB2312"/>
                <w:color w:val="000000" w:themeColor="text1"/>
                <w:sz w:val="24"/>
                <w14:textFill>
                  <w14:solidFill>
                    <w14:schemeClr w14:val="tx1"/>
                  </w14:solidFill>
                </w14:textFill>
              </w:rPr>
              <w:t>鼓励跨区集团办学，推进城乡教育一体化发展。积极支持城区通过集团化办学，向农村地区扩充优质教育资源，带动农村学校发展。</w:t>
            </w:r>
          </w:p>
          <w:p>
            <w:pPr>
              <w:adjustRightInd w:val="0"/>
              <w:snapToGrid w:val="0"/>
              <w:spacing w:line="340" w:lineRule="exact"/>
              <w:rPr>
                <w:rFonts w:ascii="仿宋_GB2312" w:hAnsiTheme="minorEastAsia"/>
                <w:color w:val="000000" w:themeColor="text1"/>
                <w:sz w:val="24"/>
                <w14:textFill>
                  <w14:solidFill>
                    <w14:schemeClr w14:val="tx1"/>
                  </w14:solidFill>
                </w14:textFill>
              </w:rPr>
            </w:pPr>
            <w:r>
              <w:rPr>
                <w:rFonts w:hint="eastAsia" w:ascii="仿宋_GB2312" w:hAnsi="宋体"/>
                <w:color w:val="000000" w:themeColor="text1"/>
                <w:sz w:val="24"/>
                <w14:textFill>
                  <w14:solidFill>
                    <w14:schemeClr w14:val="tx1"/>
                  </w14:solidFill>
                </w14:textFill>
              </w:rPr>
              <w:t>3.</w:t>
            </w:r>
            <w:r>
              <w:rPr>
                <w:rFonts w:hint="eastAsia" w:ascii="仿宋_GB2312" w:hAnsi="仿宋" w:cs="仿宋"/>
                <w:color w:val="000000" w:themeColor="text1"/>
                <w:kern w:val="36"/>
                <w:sz w:val="24"/>
                <w14:textFill>
                  <w14:solidFill>
                    <w14:schemeClr w14:val="tx1"/>
                  </w14:solidFill>
                </w14:textFill>
              </w:rPr>
              <w:t>完善集团治理结构。加强集团化办学资源统筹，促进集团内场地设施资源共享。支持集团内课程教学资源共享，促进集团内各校深度融合。</w:t>
            </w:r>
          </w:p>
          <w:p>
            <w:pPr>
              <w:adjustRightInd w:val="0"/>
              <w:snapToGrid w:val="0"/>
              <w:spacing w:line="340" w:lineRule="exact"/>
              <w:rPr>
                <w:rFonts w:ascii="仿宋_GB2312" w:hAnsi="Microsoft YaHei UI"/>
                <w:color w:val="000000" w:themeColor="text1"/>
                <w:spacing w:val="8"/>
                <w:sz w:val="24"/>
                <w14:textFill>
                  <w14:solidFill>
                    <w14:schemeClr w14:val="tx1"/>
                  </w14:solidFill>
                </w14:textFill>
              </w:rPr>
            </w:pPr>
            <w:r>
              <w:rPr>
                <w:rFonts w:hint="eastAsia" w:ascii="仿宋_GB2312" w:hAnsiTheme="minorEastAsia"/>
                <w:color w:val="000000" w:themeColor="text1"/>
                <w:sz w:val="24"/>
                <w14:textFill>
                  <w14:solidFill>
                    <w14:schemeClr w14:val="tx1"/>
                  </w14:solidFill>
                </w14:textFill>
              </w:rPr>
              <w:t>4.</w:t>
            </w:r>
            <w:r>
              <w:rPr>
                <w:rFonts w:hint="eastAsia" w:ascii="仿宋_GB2312" w:hAnsi="仿宋" w:cs="仿宋"/>
                <w:color w:val="000000" w:themeColor="text1"/>
                <w:kern w:val="36"/>
                <w:sz w:val="24"/>
                <w14:textFill>
                  <w14:solidFill>
                    <w14:schemeClr w14:val="tx1"/>
                  </w14:solidFill>
                </w14:textFill>
              </w:rPr>
              <w:t>鼓励集团内干部教师交流，</w:t>
            </w:r>
            <w:r>
              <w:rPr>
                <w:rFonts w:hint="eastAsia" w:ascii="仿宋_GB2312" w:hAnsi="Microsoft YaHei UI"/>
                <w:color w:val="000000" w:themeColor="text1"/>
                <w:spacing w:val="8"/>
                <w:sz w:val="24"/>
                <w14:textFill>
                  <w14:solidFill>
                    <w14:schemeClr w14:val="tx1"/>
                  </w14:solidFill>
                </w14:textFill>
              </w:rPr>
              <w:t>探索教育集团统筹协调与法人学校聘任相结合的教师编制管理机制。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705" w:type="dxa"/>
            <w:vAlign w:val="center"/>
          </w:tcPr>
          <w:p>
            <w:pPr>
              <w:spacing w:line="320" w:lineRule="exact"/>
              <w:jc w:val="center"/>
              <w:rPr>
                <w:sz w:val="24"/>
              </w:rPr>
            </w:pPr>
            <w:r>
              <w:rPr>
                <w:rFonts w:hint="eastAsia"/>
                <w:sz w:val="24"/>
              </w:rPr>
              <w:t>4</w:t>
            </w:r>
          </w:p>
        </w:tc>
        <w:tc>
          <w:tcPr>
            <w:tcW w:w="2414" w:type="dxa"/>
            <w:vAlign w:val="center"/>
          </w:tcPr>
          <w:p>
            <w:pPr>
              <w:spacing w:line="320" w:lineRule="exact"/>
              <w:jc w:val="left"/>
              <w:rPr>
                <w:rFonts w:ascii="仿宋_GB2312"/>
                <w:b/>
                <w:sz w:val="24"/>
              </w:rPr>
            </w:pPr>
            <w:r>
              <w:rPr>
                <w:rFonts w:hint="eastAsia" w:ascii="仿宋_GB2312" w:hAnsi="宋体"/>
                <w:b/>
                <w:sz w:val="24"/>
              </w:rPr>
              <w:t>职业教育高技能人才培养项目</w:t>
            </w:r>
          </w:p>
        </w:tc>
        <w:tc>
          <w:tcPr>
            <w:tcW w:w="5557" w:type="dxa"/>
            <w:vAlign w:val="center"/>
          </w:tcPr>
          <w:p>
            <w:pPr>
              <w:spacing w:line="340" w:lineRule="exact"/>
              <w:rPr>
                <w:rFonts w:ascii="仿宋_GB2312" w:hAnsiTheme="minorEastAsia" w:cstheme="minorEastAsia"/>
                <w:sz w:val="24"/>
              </w:rPr>
            </w:pPr>
            <w:r>
              <w:rPr>
                <w:rFonts w:hint="eastAsia" w:ascii="仿宋_GB2312" w:hAnsiTheme="minorEastAsia" w:cstheme="minorEastAsia"/>
                <w:sz w:val="24"/>
              </w:rPr>
              <w:t>1.结合大兴“三区一门户”建设需求，充分发挥职业教育导向作用。</w:t>
            </w:r>
          </w:p>
          <w:p>
            <w:pPr>
              <w:spacing w:line="340" w:lineRule="exact"/>
              <w:rPr>
                <w:rFonts w:ascii="仿宋_GB2312" w:hAnsi="宋体"/>
                <w:sz w:val="24"/>
              </w:rPr>
            </w:pPr>
            <w:r>
              <w:rPr>
                <w:rFonts w:hint="eastAsia" w:ascii="仿宋_GB2312" w:hAnsi="宋体"/>
                <w:sz w:val="24"/>
              </w:rPr>
              <w:t>2.</w:t>
            </w:r>
            <w:r>
              <w:rPr>
                <w:rFonts w:hint="eastAsia" w:ascii="仿宋_GB2312" w:hAnsi="仿宋"/>
                <w:sz w:val="24"/>
              </w:rPr>
              <w:t>按照“五新”政策的部署，适时调整专业和课程设置。重点建设电子信息、动漫、民航服务、生物医药和智能制造等5大专业群，集中力量办好飞机维修、生物医药、动漫和航空服务等4个优势专业。</w:t>
            </w:r>
          </w:p>
          <w:p>
            <w:pPr>
              <w:spacing w:line="340" w:lineRule="exact"/>
              <w:rPr>
                <w:rFonts w:ascii="仿宋_GB2312" w:hAnsiTheme="minorEastAsia"/>
                <w:sz w:val="24"/>
              </w:rPr>
            </w:pPr>
            <w:r>
              <w:rPr>
                <w:rFonts w:hint="eastAsia" w:ascii="仿宋_GB2312" w:hAnsi="宋体"/>
                <w:sz w:val="24"/>
              </w:rPr>
              <w:t>3.</w:t>
            </w:r>
            <w:r>
              <w:rPr>
                <w:rFonts w:hint="eastAsia" w:ascii="仿宋_GB2312" w:hAnsiTheme="minorEastAsia"/>
                <w:sz w:val="24"/>
              </w:rPr>
              <w:t>进一步扩大“中职-高职”衔接贯通培养规模，为更多学生学历和技能提升创设通道。</w:t>
            </w:r>
          </w:p>
          <w:p>
            <w:pPr>
              <w:spacing w:line="340" w:lineRule="exact"/>
              <w:rPr>
                <w:rFonts w:ascii="仿宋_GB2312" w:cs="仿宋_GB2312" w:hAnsiTheme="minorEastAsia"/>
                <w:sz w:val="24"/>
              </w:rPr>
            </w:pPr>
            <w:r>
              <w:rPr>
                <w:rFonts w:hint="eastAsia" w:ascii="仿宋_GB2312" w:hAnsiTheme="minorEastAsia"/>
                <w:sz w:val="24"/>
              </w:rPr>
              <w:t>4.工学结合的育人机制，大力开展“双师型”教师队伍建设，着力形成“人才共育、设备共用、技术共享、文化互补、管理互通”的校企合作长效机制。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705" w:type="dxa"/>
            <w:vAlign w:val="center"/>
          </w:tcPr>
          <w:p>
            <w:pPr>
              <w:spacing w:line="320" w:lineRule="exact"/>
              <w:jc w:val="center"/>
              <w:rPr>
                <w:sz w:val="24"/>
              </w:rPr>
            </w:pPr>
            <w:r>
              <w:rPr>
                <w:rFonts w:hint="eastAsia"/>
                <w:sz w:val="24"/>
              </w:rPr>
              <w:t>5</w:t>
            </w:r>
          </w:p>
        </w:tc>
        <w:tc>
          <w:tcPr>
            <w:tcW w:w="2414" w:type="dxa"/>
            <w:vAlign w:val="center"/>
          </w:tcPr>
          <w:p>
            <w:pPr>
              <w:spacing w:line="320" w:lineRule="exact"/>
              <w:jc w:val="left"/>
              <w:rPr>
                <w:rFonts w:ascii="仿宋_GB2312"/>
                <w:b/>
                <w:sz w:val="24"/>
              </w:rPr>
            </w:pPr>
            <w:r>
              <w:rPr>
                <w:rFonts w:hint="eastAsia" w:ascii="仿宋_GB2312" w:hAnsi="宋体"/>
                <w:b/>
                <w:sz w:val="24"/>
              </w:rPr>
              <w:t>“三名工程”</w:t>
            </w:r>
            <w:r>
              <w:rPr>
                <w:rFonts w:hint="eastAsia" w:ascii="仿宋_GB2312" w:hAnsi="仿宋" w:cs="宋体"/>
                <w:b/>
                <w:sz w:val="24"/>
              </w:rPr>
              <w:t>项目</w:t>
            </w:r>
          </w:p>
        </w:tc>
        <w:tc>
          <w:tcPr>
            <w:tcW w:w="5557" w:type="dxa"/>
            <w:vAlign w:val="center"/>
          </w:tcPr>
          <w:p>
            <w:pPr>
              <w:spacing w:line="340" w:lineRule="exact"/>
              <w:rPr>
                <w:rFonts w:ascii="仿宋_GB2312" w:hAnsi="宋体"/>
                <w:sz w:val="24"/>
              </w:rPr>
            </w:pPr>
            <w:r>
              <w:rPr>
                <w:rFonts w:hint="eastAsia" w:ascii="仿宋_GB2312" w:hAnsi="宋体"/>
                <w:sz w:val="24"/>
              </w:rPr>
              <w:t>1.系统总结</w:t>
            </w:r>
            <w:r>
              <w:rPr>
                <w:rFonts w:hint="eastAsia" w:ascii="仿宋_GB2312"/>
                <w:sz w:val="24"/>
              </w:rPr>
              <w:t>“1510”工程推进工作</w:t>
            </w:r>
            <w:r>
              <w:rPr>
                <w:rFonts w:hint="eastAsia" w:ascii="仿宋_GB2312" w:hAnsi="仿宋_GB2312" w:cs="仿宋_GB2312"/>
                <w:bCs/>
                <w:sz w:val="24"/>
              </w:rPr>
              <w:t>成效和问题，明确改革方向</w:t>
            </w:r>
            <w:r>
              <w:rPr>
                <w:rFonts w:hint="eastAsia" w:ascii="仿宋_GB2312"/>
                <w:sz w:val="24"/>
              </w:rPr>
              <w:t>。</w:t>
            </w:r>
            <w:r>
              <w:rPr>
                <w:rFonts w:hint="eastAsia" w:ascii="仿宋_GB2312" w:hAnsi="宋体"/>
                <w:sz w:val="24"/>
              </w:rPr>
              <w:t>出台</w:t>
            </w:r>
            <w:r>
              <w:rPr>
                <w:rFonts w:hint="eastAsia" w:ascii="仿宋_GB2312" w:hAnsi="仿宋" w:cs="宋体"/>
                <w:sz w:val="24"/>
              </w:rPr>
              <w:t>名师、名校长、名园长等高端教育人才培养与政策改革文件。</w:t>
            </w:r>
          </w:p>
          <w:p>
            <w:pPr>
              <w:spacing w:line="340" w:lineRule="exact"/>
              <w:rPr>
                <w:rFonts w:ascii="仿宋_GB2312" w:hAnsi="宋体"/>
                <w:sz w:val="24"/>
              </w:rPr>
            </w:pPr>
            <w:r>
              <w:rPr>
                <w:rFonts w:hint="eastAsia" w:ascii="仿宋_GB2312" w:hAnsi="宋体"/>
                <w:sz w:val="24"/>
              </w:rPr>
              <w:t>2.</w:t>
            </w:r>
            <w:r>
              <w:rPr>
                <w:rFonts w:hint="eastAsia" w:ascii="仿宋_GB2312" w:hAnsi="仿宋"/>
                <w:sz w:val="24"/>
              </w:rPr>
              <w:t>完善与校长职级制改革相适应的校长培训制度</w:t>
            </w:r>
            <w:r>
              <w:rPr>
                <w:rFonts w:hint="eastAsia" w:ascii="仿宋_GB2312" w:hAnsi="宋体" w:cs="Tahoma"/>
                <w:sz w:val="24"/>
              </w:rPr>
              <w:t>和绩效工资制度，完善干部流动培养机制,多岗位锻炼培养。</w:t>
            </w:r>
            <w:r>
              <w:rPr>
                <w:rFonts w:hint="eastAsia" w:ascii="仿宋_GB2312" w:hAnsi="宋体"/>
                <w:sz w:val="24"/>
              </w:rPr>
              <w:t>以名师工作室、名师培训班、名师研讨会、名师创新团队等方式，培养新名师。</w:t>
            </w:r>
          </w:p>
          <w:p>
            <w:pPr>
              <w:spacing w:line="340" w:lineRule="exact"/>
              <w:rPr>
                <w:rFonts w:ascii="仿宋_GB2312" w:hAnsiTheme="minorEastAsia"/>
                <w:sz w:val="24"/>
              </w:rPr>
            </w:pPr>
            <w:r>
              <w:rPr>
                <w:rFonts w:hint="eastAsia" w:ascii="仿宋_GB2312" w:hAnsi="宋体"/>
                <w:sz w:val="24"/>
              </w:rPr>
              <w:t>3.</w:t>
            </w:r>
            <w:r>
              <w:rPr>
                <w:rFonts w:hint="eastAsia" w:ascii="仿宋_GB2312" w:hAnsi="仿宋"/>
                <w:sz w:val="24"/>
              </w:rPr>
              <w:t>加强教师培训课程建设，打造一批具有针对性、引领性、前沿性的精品课程及网络课程。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705" w:type="dxa"/>
            <w:vAlign w:val="center"/>
          </w:tcPr>
          <w:p>
            <w:pPr>
              <w:spacing w:line="320" w:lineRule="exact"/>
              <w:jc w:val="center"/>
              <w:rPr>
                <w:sz w:val="24"/>
              </w:rPr>
            </w:pPr>
            <w:r>
              <w:rPr>
                <w:rFonts w:hint="eastAsia"/>
                <w:sz w:val="24"/>
              </w:rPr>
              <w:t>6</w:t>
            </w:r>
          </w:p>
        </w:tc>
        <w:tc>
          <w:tcPr>
            <w:tcW w:w="2414" w:type="dxa"/>
            <w:vAlign w:val="center"/>
          </w:tcPr>
          <w:p>
            <w:pPr>
              <w:spacing w:line="320" w:lineRule="exact"/>
              <w:jc w:val="left"/>
              <w:rPr>
                <w:rFonts w:ascii="仿宋_GB2312" w:hAnsi="黑体" w:cs="黑体"/>
                <w:b/>
                <w:sz w:val="24"/>
              </w:rPr>
            </w:pPr>
            <w:r>
              <w:rPr>
                <w:rFonts w:hint="eastAsia" w:ascii="仿宋_GB2312" w:hAnsi="仿宋" w:cs="宋体"/>
                <w:b/>
                <w:sz w:val="24"/>
              </w:rPr>
              <w:t>高水平教师培训培养基地建设项目</w:t>
            </w:r>
          </w:p>
        </w:tc>
        <w:tc>
          <w:tcPr>
            <w:tcW w:w="5557" w:type="dxa"/>
            <w:vAlign w:val="center"/>
          </w:tcPr>
          <w:p>
            <w:pPr>
              <w:spacing w:line="340" w:lineRule="exact"/>
              <w:rPr>
                <w:rFonts w:ascii="仿宋_GB2312" w:hAnsi="宋体"/>
                <w:bCs/>
                <w:color w:val="000000"/>
                <w:sz w:val="24"/>
              </w:rPr>
            </w:pPr>
            <w:r>
              <w:rPr>
                <w:rFonts w:hint="eastAsia" w:ascii="仿宋_GB2312" w:hAnsi="宋体"/>
                <w:sz w:val="24"/>
              </w:rPr>
              <w:t>1.</w:t>
            </w:r>
            <w:r>
              <w:rPr>
                <w:rFonts w:hint="eastAsia" w:ascii="仿宋_GB2312"/>
                <w:sz w:val="24"/>
              </w:rPr>
              <w:t>加强海淀区教师进修学校大兴分校建设，</w:t>
            </w:r>
            <w:r>
              <w:rPr>
                <w:rFonts w:hint="eastAsia" w:ascii="仿宋_GB2312" w:hAnsi="宋体"/>
                <w:bCs/>
                <w:color w:val="000000"/>
                <w:sz w:val="24"/>
              </w:rPr>
              <w:t>建成面向未来的智慧型干部教师发展中心和教育科研中心，达到全国示范性教师教育机构水平。调整研修队伍的专业结构、学历结构、实践能力结构，使每个学科团队都有硕士、博士和特级教师，建设2-3个在全国范围内有影响的学科领军团队。</w:t>
            </w:r>
          </w:p>
          <w:p>
            <w:pPr>
              <w:spacing w:line="340" w:lineRule="exact"/>
              <w:rPr>
                <w:rFonts w:ascii="仿宋_GB2312" w:hAnsi="仿宋"/>
                <w:sz w:val="24"/>
              </w:rPr>
            </w:pPr>
            <w:r>
              <w:rPr>
                <w:rFonts w:hint="eastAsia" w:ascii="仿宋_GB2312" w:hAnsi="宋体"/>
                <w:bCs/>
                <w:color w:val="000000"/>
                <w:sz w:val="24"/>
              </w:rPr>
              <w:t>2.争取北京市政策支持，打造</w:t>
            </w:r>
            <w:r>
              <w:rPr>
                <w:rFonts w:hint="eastAsia" w:ascii="仿宋_GB2312" w:hAnsi="仿宋"/>
                <w:sz w:val="24"/>
              </w:rPr>
              <w:t>面向全市乃至全国的教师培训培养基地。</w:t>
            </w:r>
            <w:r>
              <w:rPr>
                <w:rFonts w:hint="eastAsia" w:ascii="仿宋_GB2312"/>
                <w:sz w:val="24"/>
              </w:rPr>
              <w:t>统筹</w:t>
            </w:r>
            <w:r>
              <w:rPr>
                <w:rFonts w:hint="eastAsia" w:ascii="仿宋_GB2312" w:hAnsi="仿宋"/>
                <w:sz w:val="24"/>
              </w:rPr>
              <w:t>利用北京师范大学、国家教育行政学院、首都师范大学、北京教育科学研究院等教育科研机构的资源优势，打造面向全国教师培训培养基地，将大兴建设成为国家级教师交流培训的中心。</w:t>
            </w:r>
          </w:p>
          <w:p>
            <w:pPr>
              <w:spacing w:line="340" w:lineRule="exact"/>
              <w:rPr>
                <w:rFonts w:ascii="仿宋_GB2312" w:hAnsi="仿宋"/>
                <w:sz w:val="24"/>
              </w:rPr>
            </w:pPr>
            <w:r>
              <w:rPr>
                <w:rFonts w:hint="eastAsia" w:ascii="仿宋_GB2312" w:hAnsi="仿宋"/>
                <w:sz w:val="24"/>
              </w:rPr>
              <w:t>3.深化与“一带一路”沿线国家的教育交流合作，探索合作建设人才培养、师资培训基地。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705" w:type="dxa"/>
            <w:vAlign w:val="center"/>
          </w:tcPr>
          <w:p>
            <w:pPr>
              <w:spacing w:line="320" w:lineRule="exact"/>
              <w:jc w:val="center"/>
              <w:rPr>
                <w:sz w:val="24"/>
              </w:rPr>
            </w:pPr>
            <w:r>
              <w:rPr>
                <w:rFonts w:hint="eastAsia"/>
                <w:sz w:val="24"/>
              </w:rPr>
              <w:t>7</w:t>
            </w:r>
          </w:p>
        </w:tc>
        <w:tc>
          <w:tcPr>
            <w:tcW w:w="2414" w:type="dxa"/>
            <w:vAlign w:val="center"/>
          </w:tcPr>
          <w:p>
            <w:pPr>
              <w:spacing w:line="320" w:lineRule="exact"/>
              <w:jc w:val="left"/>
              <w:rPr>
                <w:rFonts w:ascii="仿宋_GB2312" w:hAnsi="黑体" w:cs="黑体"/>
                <w:b/>
                <w:sz w:val="24"/>
              </w:rPr>
            </w:pPr>
            <w:r>
              <w:rPr>
                <w:rFonts w:hint="eastAsia" w:ascii="仿宋_GB2312" w:hAnsi="宋体"/>
                <w:b/>
                <w:sz w:val="24"/>
              </w:rPr>
              <w:t>未来学校试点建设项目</w:t>
            </w:r>
          </w:p>
        </w:tc>
        <w:tc>
          <w:tcPr>
            <w:tcW w:w="5557" w:type="dxa"/>
            <w:vAlign w:val="center"/>
          </w:tcPr>
          <w:p>
            <w:pPr>
              <w:spacing w:line="340" w:lineRule="exact"/>
              <w:rPr>
                <w:rFonts w:ascii="仿宋_GB2312" w:hAnsi="宋体"/>
                <w:sz w:val="24"/>
              </w:rPr>
            </w:pPr>
            <w:r>
              <w:rPr>
                <w:rFonts w:hint="eastAsia" w:ascii="仿宋_GB2312" w:hAnsi="宋体"/>
                <w:sz w:val="24"/>
              </w:rPr>
              <w:t>1.明确未来学校建设的标准、时间线和路线图。</w:t>
            </w:r>
          </w:p>
          <w:p>
            <w:pPr>
              <w:spacing w:line="340" w:lineRule="exact"/>
              <w:rPr>
                <w:rFonts w:ascii="仿宋_GB2312" w:hAnsi="宋体"/>
                <w:sz w:val="24"/>
              </w:rPr>
            </w:pPr>
            <w:r>
              <w:rPr>
                <w:rFonts w:hint="eastAsia" w:ascii="仿宋_GB2312" w:hAnsi="宋体"/>
                <w:sz w:val="24"/>
              </w:rPr>
              <w:t>2.2022年，设立5所未来学校试点校，启动智慧校园、数字化校园和平安校园建设，提升校园智能化水平。与海淀区未来学校示范校建立“手拉手”定期合作交流机制。组建5个未来学校名师名校长工作室，在试点校探索教育场景、理念、内容、方式、样态与智能技术深度融合的校本方案与创新机制。</w:t>
            </w:r>
          </w:p>
          <w:p>
            <w:pPr>
              <w:spacing w:line="340" w:lineRule="exact"/>
              <w:rPr>
                <w:rFonts w:ascii="仿宋_GB2312" w:hAnsi="宋体"/>
                <w:sz w:val="24"/>
              </w:rPr>
            </w:pPr>
            <w:r>
              <w:rPr>
                <w:rFonts w:hint="eastAsia" w:ascii="仿宋_GB2312" w:hAnsi="宋体"/>
                <w:sz w:val="24"/>
              </w:rPr>
              <w:t>3.2023年至2025年，按5个试点校的校本建设方案有序将试点校逐步建设成为未来学校样板校。推进学校人才培养目标、人才培养模式、教学评价、智慧教师培养的转型变革，逐步建成多所个性多元、虚实融合、人机协同、智能管控的未来学校样板校。</w:t>
            </w:r>
          </w:p>
          <w:p>
            <w:pPr>
              <w:adjustRightInd w:val="0"/>
              <w:snapToGrid w:val="0"/>
              <w:spacing w:line="340" w:lineRule="exact"/>
              <w:rPr>
                <w:rFonts w:ascii="仿宋_GB2312" w:hAnsiTheme="minorEastAsia"/>
                <w:sz w:val="24"/>
              </w:rPr>
            </w:pPr>
            <w:r>
              <w:rPr>
                <w:rFonts w:hint="eastAsia" w:ascii="仿宋_GB2312" w:hAnsi="宋体"/>
                <w:sz w:val="24"/>
              </w:rPr>
              <w:t>4.2024年至2025年，开展未来学校样板校建设项目实施成效监测，系统评估试点校教学、科研、管理、生活等方面信息资源的智能化水平，以及教育供给与服务方式的多样化和个性化水平，比对建设标准形成分级评估报告，并对未来学校建设取得显著成效的样板校进行表彰奖励，同时对其建设经验和模式进行分析和总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705" w:type="dxa"/>
            <w:vAlign w:val="center"/>
          </w:tcPr>
          <w:p>
            <w:pPr>
              <w:spacing w:line="320" w:lineRule="exact"/>
              <w:jc w:val="center"/>
              <w:rPr>
                <w:sz w:val="24"/>
              </w:rPr>
            </w:pPr>
            <w:r>
              <w:rPr>
                <w:rFonts w:hint="eastAsia"/>
                <w:sz w:val="24"/>
              </w:rPr>
              <w:t>8</w:t>
            </w:r>
          </w:p>
        </w:tc>
        <w:tc>
          <w:tcPr>
            <w:tcW w:w="2414" w:type="dxa"/>
            <w:vAlign w:val="center"/>
          </w:tcPr>
          <w:p>
            <w:pPr>
              <w:spacing w:line="320" w:lineRule="exact"/>
              <w:jc w:val="left"/>
              <w:rPr>
                <w:rFonts w:ascii="仿宋_GB2312" w:hAnsi="黑体" w:cs="黑体"/>
                <w:b/>
                <w:sz w:val="24"/>
              </w:rPr>
            </w:pPr>
            <w:r>
              <w:rPr>
                <w:rStyle w:val="7"/>
                <w:rFonts w:hint="eastAsia" w:ascii="仿宋_GB2312" w:hAnsi="黑体"/>
                <w:b/>
                <w:sz w:val="24"/>
              </w:rPr>
              <w:t>中国特色国际学校建设项目</w:t>
            </w:r>
          </w:p>
        </w:tc>
        <w:tc>
          <w:tcPr>
            <w:tcW w:w="5557" w:type="dxa"/>
            <w:vAlign w:val="center"/>
          </w:tcPr>
          <w:p>
            <w:pPr>
              <w:spacing w:line="340" w:lineRule="exact"/>
              <w:rPr>
                <w:rFonts w:ascii="仿宋_GB2312" w:hAnsi="仿宋"/>
                <w:sz w:val="24"/>
              </w:rPr>
            </w:pPr>
            <w:r>
              <w:rPr>
                <w:rFonts w:hint="eastAsia" w:ascii="仿宋_GB2312" w:hAnsi="仿宋"/>
                <w:sz w:val="24"/>
              </w:rPr>
              <w:t>1.</w:t>
            </w:r>
            <w:r>
              <w:rPr>
                <w:rFonts w:hint="eastAsia" w:ascii="仿宋_GB2312" w:hAnsi="宋体" w:cs="SourceHanSansCN-Normal"/>
                <w:sz w:val="24"/>
              </w:rPr>
              <w:t>在国际化社区和国际化企业集聚的重点片区布局1-2所国际学校。满足引进人才对优质国际教育的需求。</w:t>
            </w:r>
            <w:r>
              <w:rPr>
                <w:rFonts w:hint="eastAsia" w:ascii="仿宋_GB2312" w:hAnsi="仿宋"/>
                <w:sz w:val="24"/>
              </w:rPr>
              <w:t>培育具有影响力的国际教育品牌。</w:t>
            </w:r>
            <w:r>
              <w:rPr>
                <w:rFonts w:hint="eastAsia" w:ascii="仿宋_GB2312" w:hAnsi="宋体" w:cs="SourceHanSansCN-Normal"/>
                <w:sz w:val="24"/>
              </w:rPr>
              <w:t>预留土地并对国际学校进行统一规划建设。</w:t>
            </w:r>
          </w:p>
          <w:p>
            <w:pPr>
              <w:spacing w:line="340" w:lineRule="exact"/>
              <w:rPr>
                <w:rFonts w:ascii="仿宋_GB2312"/>
                <w:sz w:val="24"/>
              </w:rPr>
            </w:pPr>
            <w:r>
              <w:rPr>
                <w:rFonts w:hint="eastAsia" w:ascii="仿宋_GB2312" w:hAnsi="宋体"/>
                <w:sz w:val="24"/>
              </w:rPr>
              <w:t>2.</w:t>
            </w:r>
            <w:r>
              <w:rPr>
                <w:rFonts w:hint="eastAsia" w:ascii="仿宋_GB2312" w:hAnsi="仿宋"/>
                <w:sz w:val="24"/>
              </w:rPr>
              <w:t>积极推进国际化特色学校规划建设。</w:t>
            </w:r>
            <w:r>
              <w:rPr>
                <w:rFonts w:hint="eastAsia" w:ascii="仿宋_GB2312" w:hAnsi="宋体"/>
                <w:sz w:val="24"/>
              </w:rPr>
              <w:t>通过引进、合作办学等形式，建设国际高中或名校国际部。推动有条件的学校在英语及其他外语学科引入外教。</w:t>
            </w:r>
          </w:p>
          <w:p>
            <w:pPr>
              <w:spacing w:line="340" w:lineRule="exact"/>
              <w:rPr>
                <w:rFonts w:ascii="仿宋_GB2312" w:cs="仿宋_GB2312" w:hAnsiTheme="minorEastAsia"/>
                <w:sz w:val="24"/>
              </w:rPr>
            </w:pPr>
            <w:r>
              <w:rPr>
                <w:rFonts w:hint="eastAsia" w:ascii="仿宋_GB2312" w:hAnsi="仿宋"/>
                <w:sz w:val="24"/>
              </w:rPr>
              <w:t>3.建立质量评估办法和标准。引导中外合作办学项目向高质量、规范化方向发展。加强对国际学校的指导和服务。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ourceHanSansCN-Normal">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12BF0"/>
    <w:rsid w:val="53C1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6"/>
    <w:qFormat/>
    <w:uiPriority w:val="0"/>
    <w:pPr>
      <w:keepNext/>
      <w:keepLines/>
      <w:spacing w:before="340" w:after="330" w:line="576" w:lineRule="auto"/>
      <w:outlineLvl w:val="0"/>
    </w:pPr>
    <w:rPr>
      <w:rFonts w:eastAsia="宋体" w:cs="宋体" w:asciiTheme="minorHAnsi" w:hAnsiTheme="minorHAnsi"/>
      <w:b/>
      <w:bCs/>
      <w:kern w:val="44"/>
      <w:sz w:val="44"/>
      <w:szCs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6">
    <w:name w:val="标题 1 字符"/>
    <w:basedOn w:val="5"/>
    <w:link w:val="2"/>
    <w:qFormat/>
    <w:uiPriority w:val="0"/>
    <w:rPr>
      <w:rFonts w:eastAsia="宋体" w:cs="宋体" w:asciiTheme="minorHAnsi" w:hAnsiTheme="minorHAnsi"/>
      <w:b/>
      <w:bCs/>
      <w:kern w:val="44"/>
      <w:sz w:val="44"/>
      <w:szCs w:val="44"/>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2021-12-31T10:58:00Z</dcterms:created>
  <dc:creator>อยู่ชายเล็ก</dc:creator>
  <cp:lastModifiedBy>อยู่ชายเล็ก</cp:lastModifiedBy>
  <dcterms:modified xsi:type="dcterms:W3CDTF">2021-12-31T10:58:17Z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54D1BC99BDE44992A23ED85B574B4B17</vt:lpwstr>
  </property>
</Properties>
</file>