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0" w:firstLineChars="200"/>
        <w:rPr>
          <w:b w:val="0"/>
        </w:rPr>
      </w:pPr>
      <w:bookmarkStart w:id="8" w:name="_GoBack"/>
      <w:bookmarkStart w:id="0" w:name="_Toc56458003"/>
      <w:r>
        <w:rPr>
          <w:rFonts w:hint="eastAsia"/>
          <w:b w:val="0"/>
        </w:rPr>
        <w:t>五、构建智慧交通体系，引导新兴交通模式健康发展</w:t>
      </w:r>
      <w:bookmarkEnd w:id="8"/>
      <w:bookmarkEnd w:id="0"/>
    </w:p>
    <w:p>
      <w:pPr>
        <w:spacing w:line="560" w:lineRule="exact"/>
        <w:ind w:firstLine="640" w:firstLineChars="200"/>
        <w:rPr>
          <w:sz w:val="32"/>
          <w:szCs w:val="32"/>
        </w:rPr>
      </w:pPr>
      <w:r>
        <w:rPr>
          <w:rFonts w:hint="eastAsia"/>
          <w:sz w:val="32"/>
          <w:szCs w:val="32"/>
        </w:rPr>
        <w:t>推动“互联网+智慧交通”建设，整合提升大兴区（客运）交通监控调度中心平台，将货运行业、维修行业、治超等纳入平台监管范围，以科技手段，实现对交通运输行业精准监管。以京南昌达物流为试点，以实施“公转铁”多式联运为契机，助推“公转铁”多式联运并向现代物流转型升级。</w:t>
      </w:r>
    </w:p>
    <w:p>
      <w:pPr>
        <w:pStyle w:val="3"/>
        <w:spacing w:before="156" w:beforeLines="50" w:after="156" w:afterLines="50" w:line="560" w:lineRule="exact"/>
        <w:ind w:firstLine="640" w:firstLineChars="200"/>
        <w:rPr>
          <w:rFonts w:ascii="楷体" w:hAnsi="楷体" w:cs="Times New Roman"/>
          <w:b w:val="0"/>
        </w:rPr>
      </w:pPr>
      <w:bookmarkStart w:id="1" w:name="_Toc56458004"/>
      <w:r>
        <w:rPr>
          <w:rFonts w:hint="eastAsia" w:ascii="楷体" w:hAnsi="楷体" w:cs="Times New Roman"/>
          <w:b w:val="0"/>
        </w:rPr>
        <w:t>（一）建设“互联网+智慧交通”</w:t>
      </w:r>
      <w:bookmarkEnd w:id="1"/>
    </w:p>
    <w:p>
      <w:pPr>
        <w:spacing w:line="560" w:lineRule="exact"/>
        <w:ind w:firstLine="640" w:firstLineChars="200"/>
      </w:pPr>
      <w:r>
        <w:rPr>
          <w:rFonts w:ascii="仿宋_GB2312" w:eastAsia="仿宋_GB2312"/>
          <w:color w:val="000000"/>
          <w:sz w:val="32"/>
          <w:szCs w:val="32"/>
        </w:rPr>
        <w:t>科技创新，做实智慧交通系统</w:t>
      </w:r>
      <w:r>
        <w:rPr>
          <w:rFonts w:hint="eastAsia" w:ascii="仿宋_GB2312" w:eastAsia="仿宋_GB2312"/>
          <w:color w:val="000000"/>
          <w:sz w:val="32"/>
          <w:szCs w:val="32"/>
        </w:rPr>
        <w:t>。</w:t>
      </w:r>
      <w:r>
        <w:rPr>
          <w:rFonts w:ascii="仿宋_GB2312" w:eastAsia="仿宋_GB2312"/>
          <w:color w:val="000000"/>
          <w:sz w:val="32"/>
          <w:szCs w:val="32"/>
        </w:rPr>
        <w:t>通过智能化手段，实现交通运输全局优化、系统协同与智能可控，有效提升交通运输整体运行效率、平衡调节交通系统供需关系，提升交通服务管理水平，为居民提供高品质出行服务。</w:t>
      </w:r>
    </w:p>
    <w:p>
      <w:pPr>
        <w:pStyle w:val="4"/>
        <w:keepNext w:val="0"/>
        <w:keepLines w:val="0"/>
        <w:widowControl/>
        <w:spacing w:before="0" w:after="0" w:line="560" w:lineRule="exact"/>
        <w:ind w:firstLine="640" w:firstLineChars="200"/>
        <w:jc w:val="left"/>
        <w:rPr>
          <w:rFonts w:cs="Times New Roman"/>
          <w:b w:val="0"/>
          <w:kern w:val="0"/>
          <w:szCs w:val="27"/>
        </w:rPr>
      </w:pPr>
      <w:bookmarkStart w:id="2" w:name="_Toc56410026"/>
      <w:bookmarkStart w:id="3" w:name="_Toc56458005"/>
      <w:r>
        <w:rPr>
          <w:rFonts w:hint="eastAsia" w:cs="Times New Roman"/>
          <w:b w:val="0"/>
          <w:kern w:val="0"/>
          <w:szCs w:val="27"/>
        </w:rPr>
        <w:t>1.</w:t>
      </w:r>
      <w:r>
        <w:rPr>
          <w:rFonts w:cs="Times New Roman"/>
          <w:b w:val="0"/>
          <w:kern w:val="0"/>
          <w:szCs w:val="27"/>
        </w:rPr>
        <w:t>构建先进的交通领域</w:t>
      </w:r>
      <w:r>
        <w:rPr>
          <w:rFonts w:hint="eastAsia" w:cs="Times New Roman"/>
          <w:b w:val="0"/>
          <w:kern w:val="0"/>
          <w:szCs w:val="27"/>
        </w:rPr>
        <w:t>“</w:t>
      </w:r>
      <w:r>
        <w:rPr>
          <w:rFonts w:cs="Times New Roman"/>
          <w:b w:val="0"/>
          <w:kern w:val="0"/>
          <w:szCs w:val="27"/>
        </w:rPr>
        <w:t>新基建</w:t>
      </w:r>
      <w:bookmarkEnd w:id="2"/>
      <w:bookmarkEnd w:id="3"/>
      <w:r>
        <w:rPr>
          <w:rFonts w:hint="eastAsia" w:cs="Times New Roman"/>
          <w:b w:val="0"/>
          <w:kern w:val="0"/>
          <w:szCs w:val="27"/>
        </w:rPr>
        <w:t>”</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推动交通</w:t>
      </w:r>
      <w:r>
        <w:rPr>
          <w:sz w:val="32"/>
          <w:szCs w:val="32"/>
        </w:rPr>
        <w:t>基础</w:t>
      </w:r>
      <w:r>
        <w:rPr>
          <w:rFonts w:ascii="仿宋_GB2312" w:eastAsia="仿宋_GB2312"/>
          <w:color w:val="000000"/>
          <w:sz w:val="32"/>
          <w:szCs w:val="32"/>
        </w:rPr>
        <w:t>设施数字转型、智能升级，建设经济高效、绿色集约、智能先进</w:t>
      </w:r>
      <w:r>
        <w:rPr>
          <w:rFonts w:hint="eastAsia" w:ascii="仿宋_GB2312" w:eastAsia="仿宋_GB2312"/>
          <w:color w:val="000000"/>
          <w:sz w:val="32"/>
          <w:szCs w:val="32"/>
        </w:rPr>
        <w:t>、</w:t>
      </w:r>
      <w:r>
        <w:rPr>
          <w:rFonts w:ascii="仿宋_GB2312" w:eastAsia="仿宋_GB2312"/>
          <w:color w:val="000000"/>
          <w:sz w:val="32"/>
          <w:szCs w:val="32"/>
        </w:rPr>
        <w:t>安全可靠的交通运输领域新型基础设施。强化</w:t>
      </w:r>
      <w:r>
        <w:rPr>
          <w:rFonts w:cs="Times New Roman"/>
          <w:color w:val="000000"/>
          <w:sz w:val="32"/>
          <w:szCs w:val="32"/>
        </w:rPr>
        <w:t>5G</w:t>
      </w:r>
      <w:r>
        <w:rPr>
          <w:rFonts w:ascii="仿宋_GB2312" w:eastAsia="仿宋_GB2312"/>
          <w:color w:val="000000"/>
          <w:sz w:val="32"/>
          <w:szCs w:val="32"/>
        </w:rPr>
        <w:t>技术、北斗系统、遥感卫星技术与人工智能在交通领域的应用，推动部署灵活、功能自适、云网端协同的安全体系建设</w:t>
      </w:r>
      <w:r>
        <w:rPr>
          <w:rFonts w:hint="eastAsia" w:ascii="仿宋_GB2312" w:eastAsia="仿宋_GB2312"/>
          <w:color w:val="000000"/>
          <w:sz w:val="32"/>
          <w:szCs w:val="32"/>
        </w:rPr>
        <w:t>。</w:t>
      </w:r>
    </w:p>
    <w:p>
      <w:pPr>
        <w:pStyle w:val="4"/>
        <w:keepNext w:val="0"/>
        <w:keepLines w:val="0"/>
        <w:widowControl/>
        <w:spacing w:before="0" w:after="0" w:line="560" w:lineRule="exact"/>
        <w:ind w:firstLine="640" w:firstLineChars="200"/>
        <w:jc w:val="left"/>
        <w:rPr>
          <w:rFonts w:cs="Times New Roman"/>
          <w:b w:val="0"/>
          <w:kern w:val="0"/>
          <w:szCs w:val="27"/>
        </w:rPr>
      </w:pPr>
      <w:bookmarkStart w:id="4" w:name="_Toc56458006"/>
      <w:bookmarkStart w:id="5" w:name="_Toc56410027"/>
      <w:r>
        <w:rPr>
          <w:rFonts w:hint="eastAsia" w:cs="Times New Roman"/>
          <w:b w:val="0"/>
          <w:kern w:val="0"/>
          <w:szCs w:val="27"/>
        </w:rPr>
        <w:t>2.</w:t>
      </w:r>
      <w:r>
        <w:rPr>
          <w:rFonts w:cs="Times New Roman"/>
          <w:b w:val="0"/>
          <w:kern w:val="0"/>
          <w:szCs w:val="27"/>
        </w:rPr>
        <w:t>建设</w:t>
      </w:r>
      <w:r>
        <w:rPr>
          <w:rFonts w:hint="eastAsia" w:cs="Times New Roman"/>
          <w:b w:val="0"/>
          <w:kern w:val="0"/>
          <w:szCs w:val="27"/>
        </w:rPr>
        <w:t>大兴区综合交通信息服务平台</w:t>
      </w:r>
      <w:bookmarkEnd w:id="4"/>
      <w:bookmarkEnd w:id="5"/>
    </w:p>
    <w:p>
      <w:pPr>
        <w:spacing w:line="560" w:lineRule="exact"/>
        <w:ind w:firstLine="640" w:firstLineChars="200"/>
        <w:rPr>
          <w:sz w:val="32"/>
          <w:szCs w:val="32"/>
        </w:rPr>
      </w:pPr>
      <w:r>
        <w:rPr>
          <w:rFonts w:hint="eastAsia"/>
          <w:sz w:val="32"/>
          <w:szCs w:val="32"/>
        </w:rPr>
        <w:t>构建智慧交通体系，引导大兴区新兴交通模式健康发展，建立大兴区交通信息综合服务平台。整合提升大兴区（客运）交通监控调度中心平台，将货运行业、维修行业、安全应急等纳入平台监管范围，以科技手段，实现对交通运输行业精准监管。</w:t>
      </w:r>
    </w:p>
    <w:p>
      <w:pPr>
        <w:spacing w:line="560" w:lineRule="exact"/>
        <w:ind w:firstLine="643" w:firstLineChars="200"/>
        <w:rPr>
          <w:sz w:val="32"/>
          <w:szCs w:val="32"/>
        </w:rPr>
      </w:pPr>
      <w:r>
        <w:rPr>
          <w:rFonts w:hint="eastAsia"/>
          <w:b/>
          <w:bCs/>
          <w:sz w:val="32"/>
          <w:szCs w:val="32"/>
        </w:rPr>
        <w:t>开展大兴区（客运）交通监控调度中心二期的建设工作。</w:t>
      </w:r>
      <w:r>
        <w:rPr>
          <w:rFonts w:hint="eastAsia"/>
          <w:sz w:val="32"/>
          <w:szCs w:val="32"/>
        </w:rPr>
        <w:t>将境内公交公司所有营运公交车辆全部联网，实现车内监控全覆盖；提升大兴区（客运）交通监控调度中心平台中的传输效率，升级网络；加强多源数据分析，通过视频识别、人工智能等手段，加强大兴区客流识别、统计和分析；基于客流数据分析，进行车辆智能调度。进一步强化客运安全保障，鼓励在客运车辆上应用驾驶辅助系统（ADAS）和驾驶行为分析系统，提高客运主动安全防控能力。</w:t>
      </w:r>
    </w:p>
    <w:p>
      <w:pPr>
        <w:spacing w:line="560" w:lineRule="exact"/>
        <w:ind w:firstLine="643" w:firstLineChars="200"/>
        <w:rPr>
          <w:sz w:val="32"/>
          <w:szCs w:val="32"/>
        </w:rPr>
      </w:pPr>
      <w:r>
        <w:rPr>
          <w:rFonts w:hint="eastAsia"/>
          <w:b/>
          <w:bCs/>
          <w:sz w:val="32"/>
          <w:szCs w:val="32"/>
        </w:rPr>
        <w:t>着力推进构建现代化的货运行业信息化子平台。</w:t>
      </w:r>
      <w:r>
        <w:rPr>
          <w:rFonts w:hint="eastAsia"/>
          <w:sz w:val="32"/>
          <w:szCs w:val="32"/>
        </w:rPr>
        <w:t>将市级危险货物运输车辆管理平台纳入指挥中心，实现平台对接、数据共享，对危险超限车辆进行跟踪把控。构建货运行业信息化平台，促进“互联网+货运”新业态、新模式发展，培育创新能力强、运营管理规范、资源综合利用效率高的品牌企业。</w:t>
      </w:r>
    </w:p>
    <w:p>
      <w:pPr>
        <w:spacing w:line="560" w:lineRule="exact"/>
        <w:ind w:firstLine="640" w:firstLineChars="200"/>
        <w:rPr>
          <w:sz w:val="32"/>
          <w:szCs w:val="32"/>
        </w:rPr>
      </w:pPr>
      <w:r>
        <w:rPr>
          <w:rFonts w:hint="eastAsia"/>
          <w:sz w:val="32"/>
          <w:szCs w:val="32"/>
        </w:rPr>
        <w:t>依托北京市应急信息管理信息服务平台，</w:t>
      </w:r>
      <w:r>
        <w:rPr>
          <w:rFonts w:hint="eastAsia"/>
          <w:b/>
          <w:sz w:val="32"/>
          <w:szCs w:val="32"/>
        </w:rPr>
        <w:t>搭建大兴区应急管理信息服务子平台，</w:t>
      </w:r>
      <w:r>
        <w:rPr>
          <w:rFonts w:hint="eastAsia"/>
          <w:sz w:val="32"/>
          <w:szCs w:val="32"/>
        </w:rPr>
        <w:t>实现安全信息化管理，提高科技管理手段。</w:t>
      </w:r>
    </w:p>
    <w:p>
      <w:pPr>
        <w:spacing w:line="560" w:lineRule="exact"/>
        <w:ind w:firstLine="643" w:firstLineChars="200"/>
        <w:rPr>
          <w:sz w:val="32"/>
          <w:szCs w:val="32"/>
        </w:rPr>
      </w:pPr>
      <w:r>
        <w:rPr>
          <w:rFonts w:hint="eastAsia"/>
          <w:b/>
          <w:bCs/>
          <w:sz w:val="32"/>
          <w:szCs w:val="32"/>
        </w:rPr>
        <w:t>努力构建交通运输信用管理新格局</w:t>
      </w:r>
      <w:r>
        <w:rPr>
          <w:rFonts w:hint="eastAsia"/>
          <w:sz w:val="32"/>
          <w:szCs w:val="32"/>
        </w:rPr>
        <w:t>，进一步完善大兴区交通运输全行业归集和信用评价体系，健全行业信用管理措施，促进信用管理信息化，实现信用监管在区域和领域的规范化、精准化和智能化。</w:t>
      </w:r>
    </w:p>
    <w:p>
      <w:pPr>
        <w:pStyle w:val="3"/>
        <w:spacing w:before="156" w:beforeLines="50" w:after="156" w:afterLines="50" w:line="560" w:lineRule="exact"/>
        <w:ind w:firstLine="640" w:firstLineChars="200"/>
        <w:rPr>
          <w:rFonts w:ascii="楷体" w:hAnsi="楷体" w:cs="Times New Roman"/>
          <w:b w:val="0"/>
        </w:rPr>
      </w:pPr>
      <w:bookmarkStart w:id="6" w:name="_Toc56458007"/>
      <w:r>
        <w:rPr>
          <w:rFonts w:hint="eastAsia" w:ascii="楷体" w:hAnsi="楷体" w:cs="Times New Roman"/>
          <w:b w:val="0"/>
        </w:rPr>
        <w:t>（二）提升货运集约化与专业化水平</w:t>
      </w:r>
      <w:bookmarkEnd w:id="6"/>
    </w:p>
    <w:p>
      <w:pPr>
        <w:spacing w:line="560" w:lineRule="exact"/>
        <w:ind w:firstLine="643" w:firstLineChars="200"/>
        <w:rPr>
          <w:sz w:val="32"/>
          <w:szCs w:val="32"/>
        </w:rPr>
      </w:pPr>
      <w:r>
        <w:rPr>
          <w:rFonts w:hint="eastAsia"/>
          <w:b/>
          <w:bCs/>
          <w:sz w:val="32"/>
          <w:szCs w:val="32"/>
        </w:rPr>
        <w:t>优化运输结构，提高运输效率。</w:t>
      </w:r>
      <w:r>
        <w:rPr>
          <w:rFonts w:hint="eastAsia"/>
          <w:sz w:val="32"/>
          <w:szCs w:val="32"/>
        </w:rPr>
        <w:t>适应城市功能定位，推动物流功能转型。促进“互联网+货运”新业态、新模式发展，贯彻落实网络平台道路货物运输经营管理办法，培育创新能力强、运营管理规范、资源综合利用效率高的品牌企业。</w:t>
      </w:r>
    </w:p>
    <w:p>
      <w:pPr>
        <w:spacing w:line="560" w:lineRule="exact"/>
        <w:ind w:firstLine="643" w:firstLineChars="200"/>
        <w:rPr>
          <w:sz w:val="32"/>
          <w:szCs w:val="32"/>
        </w:rPr>
      </w:pPr>
      <w:r>
        <w:rPr>
          <w:rFonts w:hint="eastAsia"/>
          <w:b/>
          <w:bCs/>
          <w:sz w:val="32"/>
          <w:szCs w:val="32"/>
        </w:rPr>
        <w:t>推动货运行业绿色化。</w:t>
      </w:r>
      <w:r>
        <w:rPr>
          <w:rFonts w:hint="eastAsia"/>
          <w:sz w:val="32"/>
          <w:szCs w:val="32"/>
        </w:rPr>
        <w:t>结合北京市“绿色货运”项目的实施成果，推动扶持大兴区内企业规模化、品牌化发展，促进大兴区货运行业车辆转型升级。“十四五”期间，积极开展宣传活动，营造“绿色货运”氛围；城市建成区内，新增和更换物流配送车辆，使用新能源或清洁能源汽车比例逐年提高，至2025年全区新能源和清洁能源道路货物运输车辆达到100辆。</w:t>
      </w:r>
    </w:p>
    <w:p>
      <w:pPr>
        <w:spacing w:line="560" w:lineRule="exact"/>
        <w:ind w:firstLine="640" w:firstLineChars="200"/>
        <w:rPr>
          <w:sz w:val="32"/>
          <w:szCs w:val="32"/>
        </w:rPr>
      </w:pPr>
      <w:r>
        <w:rPr>
          <w:rFonts w:hint="eastAsia"/>
          <w:sz w:val="32"/>
          <w:szCs w:val="32"/>
        </w:rPr>
        <w:t>以京南昌达物流为试点，以实施“公转铁”多式联运为契机，助推“公转铁”多式联运并向现代物流转型升级。</w:t>
      </w:r>
    </w:p>
    <w:p>
      <w:pPr>
        <w:pStyle w:val="3"/>
        <w:spacing w:before="156" w:beforeLines="50" w:after="156" w:afterLines="50" w:line="560" w:lineRule="exact"/>
        <w:ind w:firstLine="640" w:firstLineChars="200"/>
        <w:rPr>
          <w:rFonts w:ascii="楷体" w:hAnsi="楷体" w:cs="Times New Roman"/>
          <w:b w:val="0"/>
        </w:rPr>
      </w:pPr>
      <w:bookmarkStart w:id="7" w:name="_Toc56458008"/>
      <w:r>
        <w:rPr>
          <w:rFonts w:hint="eastAsia" w:ascii="楷体" w:hAnsi="楷体" w:cs="Times New Roman"/>
          <w:b w:val="0"/>
        </w:rPr>
        <w:t>（三）</w:t>
      </w:r>
      <w:r>
        <w:rPr>
          <w:rFonts w:ascii="楷体" w:hAnsi="楷体" w:cs="Times New Roman"/>
          <w:b w:val="0"/>
        </w:rPr>
        <w:t>文化创新，培育文明出行文化</w:t>
      </w:r>
      <w:bookmarkEnd w:id="7"/>
    </w:p>
    <w:p>
      <w:pPr>
        <w:spacing w:line="560" w:lineRule="exact"/>
        <w:ind w:firstLine="643" w:firstLineChars="200"/>
        <w:rPr>
          <w:sz w:val="32"/>
          <w:szCs w:val="32"/>
        </w:rPr>
      </w:pPr>
      <w:r>
        <w:rPr>
          <w:b/>
          <w:bCs/>
          <w:sz w:val="32"/>
          <w:szCs w:val="32"/>
        </w:rPr>
        <w:t>培育预约出行文化。</w:t>
      </w:r>
      <w:r>
        <w:rPr>
          <w:sz w:val="32"/>
          <w:szCs w:val="32"/>
        </w:rPr>
        <w:t>在全社会培育预约文化，调控群众性活动总量，缓解集中交通出行压力</w:t>
      </w:r>
      <w:r>
        <w:rPr>
          <w:rFonts w:hint="eastAsia"/>
          <w:sz w:val="32"/>
          <w:szCs w:val="32"/>
        </w:rPr>
        <w:t>。开展客运智能化预约服务，加强科技化、信息化管理。</w:t>
      </w:r>
    </w:p>
    <w:p>
      <w:pPr>
        <w:spacing w:line="560" w:lineRule="exact"/>
        <w:ind w:firstLine="643" w:firstLineChars="200"/>
        <w:rPr>
          <w:sz w:val="32"/>
          <w:szCs w:val="32"/>
        </w:rPr>
      </w:pPr>
      <w:r>
        <w:rPr>
          <w:rFonts w:hint="eastAsia"/>
          <w:b/>
          <w:bCs/>
          <w:sz w:val="32"/>
          <w:szCs w:val="32"/>
        </w:rPr>
        <w:t>依托MaaS提升绿色出行服务。</w:t>
      </w:r>
      <w:r>
        <w:rPr>
          <w:rFonts w:hint="eastAsia"/>
          <w:sz w:val="32"/>
          <w:szCs w:val="32"/>
        </w:rPr>
        <w:t>以人为本，依托大数据、5G等新技术，提升MaaS等一体化交通供需模式对绿色出行水平的贡献。开展一体化出行的顶层设计。“十四五”时期，积极与北京交通绿色出行一体化服务平台（北京</w:t>
      </w:r>
      <w:r>
        <w:rPr>
          <w:sz w:val="32"/>
          <w:szCs w:val="32"/>
        </w:rPr>
        <w:t>MaaS</w:t>
      </w:r>
      <w:r>
        <w:rPr>
          <w:rFonts w:hint="eastAsia"/>
          <w:sz w:val="32"/>
          <w:szCs w:val="32"/>
        </w:rPr>
        <w:t>平台）对接，为区内市民提供整合多种交通方式的一体化、全流程的智慧出行服务，积极倡导和推动市民绿色出行，同时提高区内乘客的出行体验。</w:t>
      </w:r>
    </w:p>
    <w:p>
      <w:pPr>
        <w:spacing w:line="560" w:lineRule="exact"/>
        <w:ind w:firstLine="643" w:firstLineChars="200"/>
        <w:rPr>
          <w:sz w:val="32"/>
          <w:szCs w:val="32"/>
        </w:rPr>
      </w:pPr>
      <w:r>
        <w:rPr>
          <w:rFonts w:hint="eastAsia"/>
          <w:b/>
          <w:bCs/>
          <w:sz w:val="32"/>
          <w:szCs w:val="32"/>
        </w:rPr>
        <w:t>引导礼让绿色出行的社会氛围。</w:t>
      </w:r>
      <w:r>
        <w:rPr>
          <w:rFonts w:hint="eastAsia"/>
          <w:sz w:val="32"/>
          <w:szCs w:val="32"/>
        </w:rPr>
        <w:t>持续宣传“慢行优先、公交优先、绿色优先”交通发展理念，培育市民绿色出行的文化理念，倡导全社会礼让绿色出行，引领文明出行风尚。</w:t>
      </w:r>
    </w:p>
    <w:p>
      <w:pPr>
        <w:spacing w:line="560" w:lineRule="exact"/>
        <w:ind w:firstLine="643" w:firstLineChars="200"/>
        <w:rPr>
          <w:sz w:val="32"/>
          <w:szCs w:val="32"/>
        </w:rPr>
      </w:pPr>
      <w:r>
        <w:rPr>
          <w:rFonts w:hint="eastAsia"/>
          <w:b/>
          <w:bCs/>
          <w:sz w:val="32"/>
          <w:szCs w:val="32"/>
        </w:rPr>
        <w:t>规范网约车，促进巡网融合发展。</w:t>
      </w:r>
      <w:r>
        <w:rPr>
          <w:rFonts w:hint="eastAsia"/>
          <w:sz w:val="32"/>
          <w:szCs w:val="32"/>
        </w:rPr>
        <w:t>强化对运营车辆、驾驶员准入资质管理；研究调整网约车人车许可条件，增加合规人车来源，提升网约车水平。研究推进巡游车与网约车在运营模式、管理服务、监管政策等方面不断趋同。</w:t>
      </w:r>
    </w:p>
    <w:p>
      <w:pPr>
        <w:spacing w:line="560" w:lineRule="exact"/>
        <w:ind w:firstLine="643" w:firstLineChars="200"/>
        <w:rPr>
          <w:rFonts w:ascii="仿宋_GB2312" w:eastAsia="仿宋_GB2312"/>
          <w:color w:val="000000"/>
          <w:sz w:val="32"/>
          <w:szCs w:val="32"/>
        </w:rPr>
        <w:sectPr>
          <w:pgSz w:w="11906" w:h="16838"/>
          <w:pgMar w:top="1440" w:right="1800" w:bottom="1440" w:left="1800" w:header="851" w:footer="992" w:gutter="0"/>
          <w:cols w:space="425" w:num="1"/>
          <w:docGrid w:type="lines" w:linePitch="312" w:charSpace="0"/>
        </w:sectPr>
      </w:pPr>
      <w:r>
        <w:rPr>
          <w:rFonts w:ascii="仿宋_GB2312" w:eastAsia="仿宋_GB2312"/>
          <w:b/>
          <w:bCs/>
          <w:color w:val="000000"/>
          <w:sz w:val="32"/>
          <w:szCs w:val="32"/>
        </w:rPr>
        <w:t>促进出租汽车行业健康有序发展。</w:t>
      </w:r>
      <w:r>
        <w:rPr>
          <w:rFonts w:ascii="仿宋_GB2312" w:eastAsia="仿宋_GB2312"/>
          <w:color w:val="000000"/>
          <w:sz w:val="32"/>
          <w:szCs w:val="32"/>
        </w:rPr>
        <w:t>坚持优先发展公共交通，适度发展出租汽车的理念，明确出租汽车作为公共交通补充的定位，实行总量调控机制。按照规模化、集约化、公司化原则，对出租汽车企业和车辆规模进行调控。</w:t>
      </w:r>
      <w:r>
        <w:rPr>
          <w:rFonts w:ascii="仿宋_GB2312" w:eastAsia="仿宋_GB2312"/>
          <w:b/>
          <w:bCs/>
          <w:color w:val="000000"/>
          <w:sz w:val="32"/>
          <w:szCs w:val="32"/>
        </w:rPr>
        <w:t>规范网约车，促进巡网融合发展。</w:t>
      </w:r>
      <w:r>
        <w:rPr>
          <w:rFonts w:ascii="仿宋_GB2312" w:eastAsia="仿宋_GB2312"/>
          <w:color w:val="000000"/>
          <w:sz w:val="32"/>
          <w:szCs w:val="32"/>
        </w:rPr>
        <w:t>优化经营模式，实现出租汽车企业的线下管理能力和网约车平台公司的线上服务能力优势互补。强化对运营车辆、驾驶员准入资质管理，监督平台公司清退不合规驾驶员车辆，督促守法经营；研究推进巡游车与网约车在运营模式、管理服务、监管政策等方面不断趋同。</w:t>
      </w:r>
      <w:r>
        <w:rPr>
          <w:rFonts w:ascii="仿宋_GB2312" w:eastAsia="仿宋_GB2312"/>
          <w:b/>
          <w:bCs/>
          <w:color w:val="000000"/>
          <w:sz w:val="32"/>
          <w:szCs w:val="32"/>
        </w:rPr>
        <w:t>完善配套运营服务设施建设，优化经营环境。</w:t>
      </w:r>
      <w:r>
        <w:rPr>
          <w:rFonts w:ascii="仿宋_GB2312" w:eastAsia="仿宋_GB2312"/>
          <w:color w:val="000000"/>
          <w:sz w:val="32"/>
          <w:szCs w:val="32"/>
        </w:rPr>
        <w:t>枢纽场站配套建设出租汽车调度站，在有条件地区增设出租汽车扬招站，方便乘客打车和驾驶员停车候客。</w:t>
      </w:r>
      <w:r>
        <w:rPr>
          <w:rFonts w:hint="eastAsia" w:ascii="仿宋_GB2312" w:eastAsia="仿宋_GB2312"/>
          <w:color w:val="000000"/>
          <w:sz w:val="32"/>
          <w:szCs w:val="32"/>
        </w:rPr>
        <w:t>严厉打击“</w:t>
      </w:r>
      <w:r>
        <w:rPr>
          <w:rFonts w:ascii="仿宋_GB2312" w:eastAsia="仿宋_GB2312"/>
          <w:color w:val="000000"/>
          <w:sz w:val="32"/>
          <w:szCs w:val="32"/>
        </w:rPr>
        <w:t>黑巡游</w:t>
      </w:r>
      <w:r>
        <w:rPr>
          <w:rFonts w:hint="eastAsia" w:ascii="仿宋_GB2312" w:eastAsia="仿宋_GB2312"/>
          <w:color w:val="000000"/>
          <w:sz w:val="32"/>
          <w:szCs w:val="32"/>
        </w:rPr>
        <w:t>”</w:t>
      </w:r>
      <w:r>
        <w:rPr>
          <w:rFonts w:ascii="仿宋_GB2312" w:eastAsia="仿宋_GB2312"/>
          <w:color w:val="000000"/>
          <w:sz w:val="32"/>
          <w:szCs w:val="32"/>
        </w:rPr>
        <w:t>、</w:t>
      </w:r>
      <w:r>
        <w:rPr>
          <w:rFonts w:hint="eastAsia" w:ascii="仿宋_GB2312" w:eastAsia="仿宋_GB2312"/>
          <w:color w:val="000000"/>
          <w:sz w:val="32"/>
          <w:szCs w:val="32"/>
        </w:rPr>
        <w:t>“</w:t>
      </w:r>
      <w:r>
        <w:rPr>
          <w:rFonts w:ascii="仿宋_GB2312" w:eastAsia="仿宋_GB2312"/>
          <w:color w:val="000000"/>
          <w:sz w:val="32"/>
          <w:szCs w:val="32"/>
        </w:rPr>
        <w:t>黑网约</w:t>
      </w:r>
      <w:r>
        <w:rPr>
          <w:rFonts w:hint="eastAsia" w:ascii="仿宋_GB2312" w:eastAsia="仿宋_GB2312"/>
          <w:color w:val="000000"/>
          <w:sz w:val="32"/>
          <w:szCs w:val="32"/>
        </w:rPr>
        <w:t>”</w:t>
      </w:r>
      <w:r>
        <w:rPr>
          <w:rFonts w:ascii="仿宋_GB2312" w:eastAsia="仿宋_GB2312"/>
          <w:color w:val="000000"/>
          <w:sz w:val="32"/>
          <w:szCs w:val="32"/>
        </w:rPr>
        <w:t>非法出租车运营行为，加大对非法网约车平台公司以及网约车平台公司使用不合规驾驶员和车辆的执法处罚力度。提升精细化管理水平，推进科技应用。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7E16594F"/>
    <w:rsid w:val="7E16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8"/>
      <w:szCs w:val="22"/>
      <w:lang w:val="en-US" w:eastAsia="zh-CN" w:bidi="ar-SA"/>
    </w:rPr>
  </w:style>
  <w:style w:type="paragraph" w:styleId="2">
    <w:name w:val="heading 1"/>
    <w:basedOn w:val="1"/>
    <w:next w:val="1"/>
    <w:qFormat/>
    <w:uiPriority w:val="9"/>
    <w:pPr>
      <w:keepNext/>
      <w:keepLines/>
      <w:spacing w:before="156" w:beforeLines="50" w:after="156" w:afterLines="50" w:line="480" w:lineRule="auto"/>
      <w:outlineLvl w:val="0"/>
    </w:pPr>
    <w:rPr>
      <w:rFonts w:eastAsia="黑体"/>
      <w:b/>
      <w:bCs/>
      <w:kern w:val="44"/>
      <w:sz w:val="32"/>
      <w:szCs w:val="44"/>
    </w:rPr>
  </w:style>
  <w:style w:type="paragraph" w:styleId="3">
    <w:name w:val="heading 2"/>
    <w:basedOn w:val="1"/>
    <w:next w:val="1"/>
    <w:unhideWhenUsed/>
    <w:qFormat/>
    <w:uiPriority w:val="9"/>
    <w:pPr>
      <w:keepNext/>
      <w:keepLines/>
      <w:spacing w:line="360" w:lineRule="auto"/>
      <w:outlineLvl w:val="1"/>
    </w:pPr>
    <w:rPr>
      <w:rFonts w:eastAsia="楷体" w:cstheme="majorBidi"/>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2022-07-12T06:27:00Z</dcterms:created>
  <dc:creator>米露露</dc:creator>
  <cp:lastModifiedBy>米露露</cp:lastModifiedBy>
  <dcterms:modified xsi:type="dcterms:W3CDTF">2022-07-12T06:27:34Z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4898D8D0EE2C45EC85FCC0A120B291CE</vt:lpwstr>
  </property>
</Properties>
</file>