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640" w:firstLineChars="200"/>
        <w:rPr>
          <w:b w:val="0"/>
        </w:rPr>
      </w:pPr>
      <w:bookmarkStart w:id="0" w:name="_Toc56458017"/>
      <w:bookmarkStart w:id="19" w:name="_GoBack"/>
      <w:r>
        <w:rPr>
          <w:rFonts w:hint="eastAsia"/>
          <w:b w:val="0"/>
        </w:rPr>
        <w:t>七、实施保障</w:t>
      </w:r>
      <w:bookmarkEnd w:id="0"/>
      <w:bookmarkEnd w:id="19"/>
    </w:p>
    <w:p>
      <w:pPr>
        <w:pStyle w:val="3"/>
        <w:spacing w:before="156" w:beforeLines="50" w:after="156" w:afterLines="50" w:line="560" w:lineRule="exact"/>
        <w:ind w:firstLine="640" w:firstLineChars="200"/>
        <w:rPr>
          <w:rFonts w:ascii="楷体" w:hAnsi="楷体" w:cs="Times New Roman"/>
          <w:b w:val="0"/>
        </w:rPr>
      </w:pPr>
      <w:bookmarkStart w:id="1" w:name="_Toc56458018"/>
      <w:r>
        <w:rPr>
          <w:rFonts w:hint="eastAsia" w:ascii="楷体" w:hAnsi="楷体" w:cs="Times New Roman"/>
          <w:b w:val="0"/>
        </w:rPr>
        <w:t>（一）加强组织领导</w:t>
      </w:r>
      <w:bookmarkEnd w:id="1"/>
      <w:r>
        <w:rPr>
          <w:rFonts w:hint="eastAsia" w:ascii="楷体" w:hAnsi="楷体" w:cs="Times New Roman"/>
          <w:b w:val="0"/>
        </w:rPr>
        <w:t xml:space="preserve"> </w:t>
      </w:r>
    </w:p>
    <w:p>
      <w:pPr>
        <w:snapToGrid w:val="0"/>
        <w:spacing w:line="560" w:lineRule="exact"/>
        <w:ind w:firstLine="640" w:firstLineChars="200"/>
        <w:rPr>
          <w:color w:val="000000"/>
          <w:kern w:val="0"/>
          <w:sz w:val="32"/>
          <w:szCs w:val="32"/>
        </w:rPr>
      </w:pPr>
      <w:r>
        <w:rPr>
          <w:rFonts w:hint="eastAsia"/>
          <w:color w:val="000000"/>
          <w:kern w:val="0"/>
          <w:sz w:val="32"/>
          <w:szCs w:val="32"/>
        </w:rPr>
        <w:t>推进组织协调，规划决策部门与执行部门之间进一步完善决策过程与实施过程的协调。完善部门联动机制，加强各部门在公共财政投入、土地供应、重大项目推进与空间布局在建设时序上的相互协调，合理确定重点任务的年度安排和行动计划，实现市区协调、部门联动、同步高效。</w:t>
      </w:r>
    </w:p>
    <w:p>
      <w:pPr>
        <w:pStyle w:val="3"/>
        <w:spacing w:before="156" w:beforeLines="50" w:after="156" w:afterLines="50" w:line="560" w:lineRule="exact"/>
        <w:ind w:firstLine="640" w:firstLineChars="200"/>
        <w:rPr>
          <w:rFonts w:ascii="楷体" w:hAnsi="楷体" w:cs="Times New Roman"/>
          <w:b w:val="0"/>
        </w:rPr>
      </w:pPr>
      <w:bookmarkStart w:id="2" w:name="_Toc56458019"/>
      <w:r>
        <w:rPr>
          <w:rFonts w:hint="eastAsia" w:ascii="楷体" w:hAnsi="楷体" w:cs="Times New Roman"/>
          <w:b w:val="0"/>
        </w:rPr>
        <w:t>（二）完善政策机制</w:t>
      </w:r>
      <w:bookmarkEnd w:id="2"/>
    </w:p>
    <w:p>
      <w:pPr>
        <w:snapToGrid w:val="0"/>
        <w:spacing w:line="560" w:lineRule="exact"/>
        <w:ind w:firstLine="643" w:firstLineChars="200"/>
        <w:rPr>
          <w:color w:val="000000"/>
          <w:kern w:val="0"/>
          <w:sz w:val="32"/>
          <w:szCs w:val="32"/>
        </w:rPr>
      </w:pPr>
      <w:r>
        <w:rPr>
          <w:rFonts w:hint="eastAsia"/>
          <w:b/>
          <w:color w:val="000000"/>
          <w:kern w:val="0"/>
          <w:sz w:val="32"/>
          <w:szCs w:val="32"/>
        </w:rPr>
        <w:t>资金保障。</w:t>
      </w:r>
      <w:r>
        <w:rPr>
          <w:rFonts w:hint="eastAsia"/>
          <w:color w:val="000000"/>
          <w:kern w:val="0"/>
          <w:sz w:val="32"/>
          <w:szCs w:val="32"/>
        </w:rPr>
        <w:t>为落实交通强国建设要求，确保交通发挥“先行官”作用，在财政资金紧张的前提下应尽量保证交通固定资产投资规模。进一步探索创新交通领域投融资模式，充分发挥市场机制作用，引导鼓励社会资本参与交通基础设施建设。加强市区两级统筹，完善交通设施建设财政投资分担机制。</w:t>
      </w:r>
    </w:p>
    <w:p>
      <w:pPr>
        <w:snapToGrid w:val="0"/>
        <w:spacing w:line="560" w:lineRule="exact"/>
        <w:ind w:firstLine="643" w:firstLineChars="200"/>
        <w:rPr>
          <w:color w:val="000000"/>
          <w:kern w:val="0"/>
          <w:sz w:val="32"/>
          <w:szCs w:val="32"/>
        </w:rPr>
      </w:pPr>
      <w:r>
        <w:rPr>
          <w:rFonts w:hint="eastAsia"/>
          <w:b/>
          <w:color w:val="000000"/>
          <w:kern w:val="0"/>
          <w:sz w:val="32"/>
          <w:szCs w:val="32"/>
        </w:rPr>
        <w:t>政策保障。</w:t>
      </w:r>
      <w:r>
        <w:rPr>
          <w:rFonts w:hint="eastAsia"/>
          <w:color w:val="000000"/>
          <w:kern w:val="0"/>
          <w:sz w:val="32"/>
          <w:szCs w:val="32"/>
        </w:rPr>
        <w:t>研究简化交通基础设施建设规划审批流程，加快推进重大设施建设。加强交通基础设施建设项目前期储备。适度超前、优先发展交通基础设施，提前规划控制交通战略走廊和重大交通设施用地。加快构建交通运输高质量发展的政策体系，做到“五个坚持”。</w:t>
      </w:r>
    </w:p>
    <w:p>
      <w:pPr>
        <w:snapToGrid w:val="0"/>
        <w:spacing w:line="560" w:lineRule="exact"/>
        <w:ind w:firstLine="643" w:firstLineChars="200"/>
        <w:rPr>
          <w:color w:val="000000"/>
          <w:kern w:val="0"/>
          <w:sz w:val="32"/>
          <w:szCs w:val="32"/>
        </w:rPr>
      </w:pPr>
      <w:r>
        <w:rPr>
          <w:rFonts w:hint="eastAsia"/>
          <w:b/>
          <w:color w:val="000000"/>
          <w:kern w:val="0"/>
          <w:sz w:val="32"/>
          <w:szCs w:val="32"/>
        </w:rPr>
        <w:t>体制保障。</w:t>
      </w:r>
      <w:r>
        <w:rPr>
          <w:rFonts w:hint="eastAsia"/>
          <w:color w:val="000000"/>
          <w:kern w:val="0"/>
          <w:sz w:val="32"/>
          <w:szCs w:val="32"/>
        </w:rPr>
        <w:t>当前必须重视解决4个问题。一要着力深化行政体制改革，要坚持通过建立大部门体制，实现各种运输方式的统筹发展、科学发展。二要着力加强规划引领，尽快制定和完善现代综合运输体系规划，以科学的规划指导综合运输体系的合理布局和结构优化。三要着力加强科技创新，通过信息化提升交通现代化水平，以信息化手段整合各种交通资源。四要着力加强政策引导，交通作为提供公共服务的重要基础产业和先导产业，应列入宏观调控“有保有压”中“保”的范围，确立先行发展的理念，国家应在土地、财政、金融政策以及项目审批程序等方面予以大力支持。</w:t>
      </w:r>
    </w:p>
    <w:p>
      <w:pPr>
        <w:snapToGrid w:val="0"/>
        <w:spacing w:line="560" w:lineRule="exact"/>
        <w:ind w:firstLine="643" w:firstLineChars="200"/>
        <w:rPr>
          <w:color w:val="000000"/>
          <w:kern w:val="0"/>
          <w:sz w:val="32"/>
          <w:szCs w:val="32"/>
        </w:rPr>
      </w:pPr>
      <w:r>
        <w:rPr>
          <w:rFonts w:hint="eastAsia"/>
          <w:b/>
          <w:color w:val="000000"/>
          <w:kern w:val="0"/>
          <w:sz w:val="32"/>
          <w:szCs w:val="32"/>
        </w:rPr>
        <w:t>科技进步与人力资源保障。</w:t>
      </w:r>
      <w:r>
        <w:rPr>
          <w:rFonts w:hint="eastAsia"/>
          <w:color w:val="000000"/>
          <w:kern w:val="0"/>
          <w:sz w:val="32"/>
          <w:szCs w:val="32"/>
        </w:rPr>
        <w:t>牢固树立“人才是第一资源”理念，坚持以科技人才队伍建设为主线，在解束缚、拓平台、优服务、建梯队、引外脑、提素质上下功夫，形成合力，加快培养和造就一大批新时代交通运输科技领军人才，为交通强国建设提供智力支撑、夯实人才基础。</w:t>
      </w:r>
    </w:p>
    <w:p>
      <w:pPr>
        <w:pStyle w:val="3"/>
        <w:spacing w:before="156" w:beforeLines="50" w:after="156" w:afterLines="50" w:line="560" w:lineRule="exact"/>
        <w:ind w:firstLine="640" w:firstLineChars="200"/>
        <w:rPr>
          <w:rFonts w:ascii="楷体" w:hAnsi="楷体" w:cs="Times New Roman"/>
          <w:b w:val="0"/>
        </w:rPr>
      </w:pPr>
      <w:bookmarkStart w:id="3" w:name="_Toc56458020"/>
      <w:r>
        <w:rPr>
          <w:rFonts w:hint="eastAsia" w:ascii="楷体" w:hAnsi="楷体" w:cs="Times New Roman"/>
          <w:b w:val="0"/>
        </w:rPr>
        <w:t>（三）强化考核评价</w:t>
      </w:r>
      <w:bookmarkEnd w:id="3"/>
    </w:p>
    <w:p>
      <w:pPr>
        <w:snapToGrid w:val="0"/>
        <w:spacing w:line="560" w:lineRule="exact"/>
        <w:ind w:firstLine="643" w:firstLineChars="200"/>
        <w:rPr>
          <w:color w:val="000000"/>
          <w:kern w:val="0"/>
          <w:sz w:val="32"/>
          <w:szCs w:val="32"/>
        </w:rPr>
      </w:pPr>
      <w:r>
        <w:rPr>
          <w:rFonts w:hint="eastAsia"/>
          <w:b/>
          <w:color w:val="000000"/>
          <w:kern w:val="0"/>
          <w:sz w:val="32"/>
          <w:szCs w:val="32"/>
        </w:rPr>
        <w:t>完善规划任务分工及考核机制。</w:t>
      </w:r>
      <w:r>
        <w:rPr>
          <w:rFonts w:hint="eastAsia"/>
          <w:color w:val="000000"/>
          <w:kern w:val="0"/>
          <w:sz w:val="32"/>
          <w:szCs w:val="32"/>
        </w:rPr>
        <w:t>对规划指标、重大工程项目、重大政策、重大改革措施进行任务分解，并明确责任部门及完成时限。将规划任务纳入各部门年度工作计划，确保规划目标任务有计划、按步骤得到落实。建立规划实施定期考核机制，围绕规划确定的指标任务，引入第三方评估，采用定性评估与定量考核相结合的方式，定期考核各责任单位及部门的贯彻落实情况，增强规划考核的客观性和科学性。</w:t>
      </w:r>
    </w:p>
    <w:p>
      <w:pPr>
        <w:snapToGrid w:val="0"/>
        <w:spacing w:line="560" w:lineRule="exact"/>
        <w:ind w:firstLine="643" w:firstLineChars="200"/>
        <w:rPr>
          <w:color w:val="000000"/>
          <w:kern w:val="0"/>
          <w:sz w:val="32"/>
          <w:szCs w:val="32"/>
        </w:rPr>
      </w:pPr>
      <w:r>
        <w:rPr>
          <w:rFonts w:hint="eastAsia"/>
          <w:b/>
          <w:color w:val="000000"/>
          <w:kern w:val="0"/>
          <w:sz w:val="32"/>
          <w:szCs w:val="32"/>
        </w:rPr>
        <w:t>加强规划任务实施监督评估。</w:t>
      </w:r>
      <w:r>
        <w:rPr>
          <w:rFonts w:hint="eastAsia"/>
          <w:color w:val="000000"/>
          <w:kern w:val="0"/>
          <w:sz w:val="32"/>
          <w:szCs w:val="32"/>
        </w:rPr>
        <w:t>将“十四五”规划任务与城市总体规划“城市体检”工作相结合，对规划指标、重大工程项目、重大政策、重大改革措施实施情况开展跟踪监测分析，强化动态管理，保障规划实施效果。</w:t>
      </w:r>
    </w:p>
    <w:p>
      <w:pPr>
        <w:snapToGrid w:val="0"/>
        <w:spacing w:line="560" w:lineRule="exact"/>
        <w:ind w:firstLine="560" w:firstLineChars="200"/>
      </w:pPr>
    </w:p>
    <w:p>
      <w:pPr>
        <w:sectPr>
          <w:pgSz w:w="11906" w:h="16838"/>
          <w:pgMar w:top="1440" w:right="1800" w:bottom="1440" w:left="1800" w:header="851" w:footer="992" w:gutter="0"/>
          <w:cols w:space="425" w:num="1"/>
          <w:docGrid w:type="lines" w:linePitch="312" w:charSpace="0"/>
        </w:sectPr>
      </w:pPr>
    </w:p>
    <w:p>
      <w:pPr>
        <w:pStyle w:val="2"/>
        <w:spacing w:before="190" w:after="190" w:line="560" w:lineRule="exact"/>
        <w:rPr>
          <w:rFonts w:ascii="黑体" w:hAnsi="黑体" w:cs="Times New Roman"/>
          <w:b w:val="0"/>
        </w:rPr>
      </w:pPr>
      <w:bookmarkStart w:id="4" w:name="_Toc56458021"/>
      <w:r>
        <w:rPr>
          <w:rFonts w:hint="eastAsia" w:ascii="黑体" w:hAnsi="黑体" w:cs="Times New Roman"/>
          <w:b w:val="0"/>
        </w:rPr>
        <w:t>附表</w:t>
      </w:r>
      <w:bookmarkEnd w:id="4"/>
    </w:p>
    <w:p>
      <w:pPr>
        <w:snapToGrid w:val="0"/>
        <w:spacing w:line="360" w:lineRule="auto"/>
        <w:ind w:firstLine="640" w:firstLineChars="200"/>
        <w:jc w:val="center"/>
        <w:rPr>
          <w:rFonts w:ascii="黑体" w:hAnsi="黑体" w:eastAsia="黑体" w:cs="Times New Roman"/>
          <w:sz w:val="32"/>
          <w:szCs w:val="32"/>
        </w:rPr>
      </w:pPr>
      <w:bookmarkStart w:id="5" w:name="_Toc56458022"/>
      <w:r>
        <w:rPr>
          <w:rFonts w:hint="eastAsia" w:ascii="黑体" w:hAnsi="黑体" w:eastAsia="黑体" w:cs="Times New Roman"/>
          <w:sz w:val="32"/>
          <w:szCs w:val="32"/>
        </w:rPr>
        <w:t>“十四五”</w:t>
      </w:r>
      <w:r>
        <w:rPr>
          <w:rFonts w:hint="eastAsia" w:ascii="黑体" w:hAnsi="黑体" w:eastAsia="黑体"/>
          <w:color w:val="000000"/>
          <w:sz w:val="32"/>
          <w:szCs w:val="32"/>
        </w:rPr>
        <w:t>时期</w:t>
      </w:r>
      <w:r>
        <w:rPr>
          <w:rFonts w:hint="eastAsia" w:ascii="黑体" w:hAnsi="黑体" w:eastAsia="黑体" w:cs="Times New Roman"/>
          <w:sz w:val="32"/>
          <w:szCs w:val="32"/>
        </w:rPr>
        <w:t>大兴区交通运输规划建设主要任务汇总表</w:t>
      </w:r>
      <w:bookmarkEnd w:id="5"/>
    </w:p>
    <w:tbl>
      <w:tblPr>
        <w:tblStyle w:val="4"/>
        <w:tblW w:w="13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46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blHeader/>
          <w:jc w:val="center"/>
        </w:trPr>
        <w:tc>
          <w:tcPr>
            <w:tcW w:w="1133" w:type="dxa"/>
            <w:shd w:val="clear" w:color="auto" w:fill="auto"/>
            <w:vAlign w:val="center"/>
          </w:tcPr>
          <w:p>
            <w:pPr>
              <w:snapToGrid w:val="0"/>
              <w:jc w:val="center"/>
              <w:rPr>
                <w:rFonts w:cs="Times New Roman"/>
                <w:b/>
                <w:bCs/>
                <w:kern w:val="0"/>
                <w:sz w:val="24"/>
                <w:szCs w:val="28"/>
              </w:rPr>
            </w:pPr>
            <w:r>
              <w:rPr>
                <w:rFonts w:hint="eastAsia" w:cs="Times New Roman"/>
                <w:b/>
                <w:bCs/>
                <w:kern w:val="0"/>
                <w:sz w:val="24"/>
                <w:szCs w:val="28"/>
              </w:rPr>
              <w:t>序号</w:t>
            </w:r>
          </w:p>
        </w:tc>
        <w:tc>
          <w:tcPr>
            <w:tcW w:w="11466" w:type="dxa"/>
            <w:shd w:val="clear" w:color="auto" w:fill="auto"/>
            <w:vAlign w:val="center"/>
          </w:tcPr>
          <w:p>
            <w:pPr>
              <w:snapToGrid w:val="0"/>
              <w:jc w:val="center"/>
              <w:rPr>
                <w:rFonts w:cs="Times New Roman"/>
                <w:b/>
                <w:bCs/>
                <w:kern w:val="0"/>
                <w:sz w:val="24"/>
                <w:szCs w:val="28"/>
              </w:rPr>
            </w:pPr>
            <w:r>
              <w:rPr>
                <w:rFonts w:hint="eastAsia" w:cs="Times New Roman"/>
                <w:b/>
                <w:bCs/>
                <w:kern w:val="0"/>
                <w:sz w:val="24"/>
                <w:szCs w:val="28"/>
              </w:rPr>
              <w:t>任务</w:t>
            </w:r>
          </w:p>
        </w:tc>
        <w:tc>
          <w:tcPr>
            <w:tcW w:w="1326" w:type="dxa"/>
            <w:vAlign w:val="center"/>
          </w:tcPr>
          <w:p>
            <w:pPr>
              <w:snapToGrid w:val="0"/>
              <w:jc w:val="center"/>
              <w:rPr>
                <w:rFonts w:cs="Times New Roman"/>
                <w:b/>
                <w:bCs/>
                <w:kern w:val="0"/>
                <w:sz w:val="24"/>
                <w:szCs w:val="28"/>
              </w:rPr>
            </w:pPr>
            <w:r>
              <w:rPr>
                <w:rFonts w:hint="eastAsia" w:cs="Times New Roman"/>
                <w:b/>
                <w:bCs/>
                <w:kern w:val="0"/>
                <w:sz w:val="24"/>
                <w:szCs w:val="28"/>
              </w:rPr>
              <w:t>完成时限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w:t>
            </w:r>
          </w:p>
        </w:tc>
        <w:tc>
          <w:tcPr>
            <w:tcW w:w="11466" w:type="dxa"/>
            <w:shd w:val="clear" w:color="auto" w:fill="auto"/>
            <w:vAlign w:val="center"/>
          </w:tcPr>
          <w:p>
            <w:pPr>
              <w:jc w:val="center"/>
              <w:rPr>
                <w:rFonts w:cs="Times New Roman"/>
                <w:sz w:val="24"/>
                <w:szCs w:val="24"/>
              </w:rPr>
            </w:pPr>
            <w:r>
              <w:rPr>
                <w:rFonts w:hint="eastAsia" w:cs="Times New Roman"/>
                <w:sz w:val="24"/>
                <w:szCs w:val="24"/>
              </w:rPr>
              <w:t>强化大兴与北京中心城区、周边新城、京津冀的交通联系，建立大兴至固安县、廊坊市以及涿州市等地的交通走廊，打造区域交通门户</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2</w:t>
            </w:r>
          </w:p>
        </w:tc>
        <w:tc>
          <w:tcPr>
            <w:tcW w:w="11466" w:type="dxa"/>
            <w:shd w:val="clear" w:color="auto" w:fill="auto"/>
            <w:vAlign w:val="center"/>
          </w:tcPr>
          <w:p>
            <w:pPr>
              <w:snapToGrid w:val="0"/>
              <w:jc w:val="center"/>
              <w:rPr>
                <w:rFonts w:cs="Times New Roman"/>
                <w:bCs/>
                <w:kern w:val="0"/>
                <w:sz w:val="24"/>
                <w:szCs w:val="28"/>
              </w:rPr>
            </w:pPr>
            <w:r>
              <w:rPr>
                <w:rFonts w:hint="eastAsia" w:cs="Times New Roman"/>
                <w:bCs/>
                <w:kern w:val="0"/>
                <w:sz w:val="24"/>
                <w:szCs w:val="28"/>
              </w:rPr>
              <w:t>依托大兴国际机场，充分利用机场客运站条件，指导旅游企业逐步开拓省际班线，打造优质服务的品牌线路</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3</w:t>
            </w:r>
          </w:p>
        </w:tc>
        <w:tc>
          <w:tcPr>
            <w:tcW w:w="11466" w:type="dxa"/>
            <w:shd w:val="clear" w:color="auto" w:fill="auto"/>
            <w:vAlign w:val="center"/>
          </w:tcPr>
          <w:p>
            <w:pPr>
              <w:snapToGrid w:val="0"/>
              <w:jc w:val="center"/>
              <w:rPr>
                <w:rFonts w:cs="Times New Roman"/>
                <w:bCs/>
                <w:kern w:val="0"/>
                <w:sz w:val="24"/>
                <w:szCs w:val="28"/>
              </w:rPr>
            </w:pPr>
            <w:r>
              <w:rPr>
                <w:rFonts w:cs="Times New Roman"/>
                <w:sz w:val="24"/>
                <w:szCs w:val="24"/>
              </w:rPr>
              <w:t>完善北京大兴国际机场的客流集疏散</w:t>
            </w:r>
            <w:r>
              <w:rPr>
                <w:rFonts w:hint="eastAsia" w:cs="Times New Roman"/>
                <w:sz w:val="24"/>
                <w:szCs w:val="24"/>
              </w:rPr>
              <w:t>，建立健全“无缝衔接、内外一体、平战结合、运转高效”的常态化应急服务保障体制机制</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4</w:t>
            </w:r>
          </w:p>
        </w:tc>
        <w:tc>
          <w:tcPr>
            <w:tcW w:w="11466" w:type="dxa"/>
            <w:shd w:val="clear" w:color="auto" w:fill="auto"/>
            <w:vAlign w:val="center"/>
          </w:tcPr>
          <w:p>
            <w:pPr>
              <w:snapToGrid w:val="0"/>
              <w:jc w:val="center"/>
              <w:rPr>
                <w:rFonts w:cs="Times New Roman"/>
                <w:bCs/>
                <w:kern w:val="0"/>
                <w:sz w:val="24"/>
                <w:szCs w:val="28"/>
              </w:rPr>
            </w:pPr>
            <w:r>
              <w:rPr>
                <w:rFonts w:hint="eastAsia" w:cs="Times New Roman"/>
                <w:bCs/>
                <w:kern w:val="0"/>
                <w:sz w:val="24"/>
                <w:szCs w:val="28"/>
              </w:rPr>
              <w:t>严格机场货运安全管理，保障机场附近货运通道行驶安全，开展危险品运输车辆的监管工作</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5</w:t>
            </w:r>
          </w:p>
        </w:tc>
        <w:tc>
          <w:tcPr>
            <w:tcW w:w="11466" w:type="dxa"/>
            <w:shd w:val="clear" w:color="auto" w:fill="auto"/>
            <w:vAlign w:val="center"/>
          </w:tcPr>
          <w:p>
            <w:pPr>
              <w:jc w:val="center"/>
              <w:rPr>
                <w:rFonts w:cs="Times New Roman"/>
                <w:sz w:val="24"/>
                <w:szCs w:val="24"/>
              </w:rPr>
            </w:pPr>
            <w:r>
              <w:rPr>
                <w:rFonts w:hint="eastAsia" w:cs="Times New Roman"/>
                <w:sz w:val="24"/>
                <w:szCs w:val="24"/>
              </w:rPr>
              <w:t>优化交通能源结构，推广新能源，推动城市公共交通工具和城市物流配送车辆全部实现电动化、新能源化和清洁化</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6</w:t>
            </w:r>
          </w:p>
        </w:tc>
        <w:tc>
          <w:tcPr>
            <w:tcW w:w="11466" w:type="dxa"/>
            <w:shd w:val="clear" w:color="auto" w:fill="auto"/>
            <w:vAlign w:val="center"/>
          </w:tcPr>
          <w:p>
            <w:pPr>
              <w:jc w:val="center"/>
              <w:rPr>
                <w:rFonts w:cs="Times New Roman"/>
                <w:sz w:val="24"/>
                <w:szCs w:val="24"/>
              </w:rPr>
            </w:pPr>
            <w:r>
              <w:rPr>
                <w:rFonts w:hint="eastAsia" w:cs="Times New Roman"/>
                <w:sz w:val="24"/>
                <w:szCs w:val="24"/>
              </w:rPr>
              <w:t>强化大兴与北京中心城区、周边新城的交通联系，依托京开高速、五环路、六环路、京良路、芦求路、南中轴线等主要干道，建立采育、临空经济区、榆垡等8个组团与中心城区的公交客流走廊</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7</w:t>
            </w:r>
          </w:p>
        </w:tc>
        <w:tc>
          <w:tcPr>
            <w:tcW w:w="11466" w:type="dxa"/>
            <w:shd w:val="clear" w:color="auto" w:fill="auto"/>
            <w:vAlign w:val="center"/>
          </w:tcPr>
          <w:p>
            <w:pPr>
              <w:jc w:val="center"/>
              <w:rPr>
                <w:rFonts w:cs="Times New Roman"/>
                <w:sz w:val="24"/>
                <w:szCs w:val="24"/>
              </w:rPr>
            </w:pPr>
            <w:r>
              <w:rPr>
                <w:rFonts w:hint="eastAsia" w:cs="Times New Roman"/>
                <w:sz w:val="24"/>
                <w:szCs w:val="24"/>
              </w:rPr>
              <w:t>加快与公交集团进行资源整合，统筹市区、区内各类公交资源的利用（包括场站、线路等），协同优化公交线路，</w:t>
            </w:r>
            <w:r>
              <w:rPr>
                <w:rFonts w:cs="Times New Roman"/>
                <w:sz w:val="24"/>
                <w:szCs w:val="24"/>
              </w:rPr>
              <w:t>提升公交服务水平</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8</w:t>
            </w:r>
          </w:p>
        </w:tc>
        <w:tc>
          <w:tcPr>
            <w:tcW w:w="11466" w:type="dxa"/>
            <w:shd w:val="clear" w:color="auto" w:fill="auto"/>
            <w:vAlign w:val="center"/>
          </w:tcPr>
          <w:p>
            <w:pPr>
              <w:jc w:val="center"/>
              <w:rPr>
                <w:rFonts w:cs="Times New Roman"/>
                <w:sz w:val="24"/>
                <w:szCs w:val="24"/>
              </w:rPr>
            </w:pPr>
            <w:r>
              <w:rPr>
                <w:rFonts w:hint="eastAsia" w:cs="Times New Roman"/>
                <w:sz w:val="24"/>
                <w:szCs w:val="24"/>
              </w:rPr>
              <w:t>开展常态化的乘客公交出行满意度调查，基于乘客满意度，开展公交线路提质改造工作</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9</w:t>
            </w:r>
          </w:p>
        </w:tc>
        <w:tc>
          <w:tcPr>
            <w:tcW w:w="11466" w:type="dxa"/>
            <w:shd w:val="clear" w:color="auto" w:fill="auto"/>
            <w:vAlign w:val="center"/>
          </w:tcPr>
          <w:p>
            <w:pPr>
              <w:jc w:val="center"/>
              <w:rPr>
                <w:rFonts w:cs="Times New Roman"/>
                <w:sz w:val="24"/>
                <w:szCs w:val="24"/>
              </w:rPr>
            </w:pPr>
            <w:r>
              <w:rPr>
                <w:rFonts w:cs="Times New Roman"/>
                <w:sz w:val="24"/>
                <w:szCs w:val="24"/>
              </w:rPr>
              <w:t>加强轨道交通与地面公交协同调度</w:t>
            </w:r>
            <w:r>
              <w:rPr>
                <w:rFonts w:hint="eastAsia" w:cs="Times New Roman"/>
                <w:sz w:val="24"/>
                <w:szCs w:val="24"/>
              </w:rPr>
              <w:t>，开展地铁4号线、大兴线周边公交线路提质改造工作</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10</w:t>
            </w:r>
          </w:p>
        </w:tc>
        <w:tc>
          <w:tcPr>
            <w:tcW w:w="11466" w:type="dxa"/>
            <w:shd w:val="clear" w:color="auto" w:fill="auto"/>
            <w:vAlign w:val="center"/>
          </w:tcPr>
          <w:p>
            <w:pPr>
              <w:jc w:val="center"/>
              <w:rPr>
                <w:rFonts w:cs="Times New Roman"/>
                <w:sz w:val="24"/>
                <w:szCs w:val="24"/>
              </w:rPr>
            </w:pPr>
            <w:r>
              <w:rPr>
                <w:rFonts w:hint="eastAsia" w:cs="Times New Roman"/>
                <w:sz w:val="24"/>
                <w:szCs w:val="24"/>
              </w:rPr>
              <w:t>整治区内接驳公交</w:t>
            </w:r>
            <w:r>
              <w:rPr>
                <w:rFonts w:cs="Times New Roman"/>
                <w:sz w:val="24"/>
                <w:szCs w:val="24"/>
              </w:rPr>
              <w:t>线路</w:t>
            </w:r>
            <w:r>
              <w:rPr>
                <w:rFonts w:hint="eastAsia" w:cs="Times New Roman"/>
                <w:sz w:val="24"/>
                <w:szCs w:val="24"/>
              </w:rPr>
              <w:t>乱停违停现象，优化接驳公交线路的线路、站点</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11</w:t>
            </w:r>
          </w:p>
        </w:tc>
        <w:tc>
          <w:tcPr>
            <w:tcW w:w="11466" w:type="dxa"/>
            <w:shd w:val="clear" w:color="auto" w:fill="auto"/>
            <w:vAlign w:val="center"/>
          </w:tcPr>
          <w:p>
            <w:pPr>
              <w:jc w:val="center"/>
              <w:rPr>
                <w:rFonts w:cs="Times New Roman"/>
                <w:sz w:val="24"/>
                <w:szCs w:val="24"/>
              </w:rPr>
            </w:pPr>
            <w:r>
              <w:rPr>
                <w:rFonts w:hint="eastAsia" w:cs="Times New Roman"/>
                <w:sz w:val="24"/>
                <w:szCs w:val="24"/>
              </w:rPr>
              <w:t>进一步完善就业通勤班车线路规划，继续拓展公交多样化服务，进一步丰富定制公交服务，探索建立响应式公交服务模式，适时增加大兴国际机场范围的通勤线路1至</w:t>
            </w:r>
            <w:r>
              <w:rPr>
                <w:rFonts w:cs="Times New Roman"/>
                <w:sz w:val="24"/>
                <w:szCs w:val="24"/>
              </w:rPr>
              <w:t>2</w:t>
            </w:r>
            <w:r>
              <w:rPr>
                <w:rFonts w:hint="eastAsia" w:cs="Times New Roman"/>
                <w:sz w:val="24"/>
                <w:szCs w:val="24"/>
              </w:rPr>
              <w:t>条</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12</w:t>
            </w:r>
          </w:p>
        </w:tc>
        <w:tc>
          <w:tcPr>
            <w:tcW w:w="11466" w:type="dxa"/>
            <w:shd w:val="clear" w:color="auto" w:fill="auto"/>
            <w:vAlign w:val="center"/>
          </w:tcPr>
          <w:p>
            <w:pPr>
              <w:jc w:val="center"/>
              <w:rPr>
                <w:rFonts w:cs="Times New Roman"/>
                <w:sz w:val="24"/>
                <w:szCs w:val="24"/>
              </w:rPr>
            </w:pPr>
            <w:r>
              <w:rPr>
                <w:rFonts w:hint="eastAsia" w:cs="Times New Roman"/>
                <w:sz w:val="24"/>
                <w:szCs w:val="24"/>
              </w:rPr>
              <w:t>加强机场公交客流数据分析，适时新增大兴国际机场与大兴新城、大兴国际机场与亦庄新城公交线路</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13</w:t>
            </w:r>
          </w:p>
        </w:tc>
        <w:tc>
          <w:tcPr>
            <w:tcW w:w="11466" w:type="dxa"/>
            <w:shd w:val="clear" w:color="auto" w:fill="auto"/>
            <w:vAlign w:val="center"/>
          </w:tcPr>
          <w:p>
            <w:pPr>
              <w:jc w:val="center"/>
              <w:rPr>
                <w:rFonts w:cs="Times New Roman"/>
                <w:sz w:val="24"/>
                <w:szCs w:val="24"/>
              </w:rPr>
            </w:pPr>
            <w:r>
              <w:rPr>
                <w:rFonts w:hint="eastAsia" w:cs="Times New Roman"/>
                <w:sz w:val="24"/>
                <w:szCs w:val="24"/>
              </w:rPr>
              <w:t>加强大兴区客运枢纽和交通节点建设，持续推进黄村一体化公交场站项目建设</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14</w:t>
            </w:r>
          </w:p>
        </w:tc>
        <w:tc>
          <w:tcPr>
            <w:tcW w:w="11466" w:type="dxa"/>
            <w:shd w:val="clear" w:color="auto" w:fill="auto"/>
            <w:vAlign w:val="center"/>
          </w:tcPr>
          <w:p>
            <w:pPr>
              <w:jc w:val="center"/>
              <w:rPr>
                <w:rFonts w:cs="Times New Roman"/>
                <w:sz w:val="24"/>
                <w:szCs w:val="24"/>
              </w:rPr>
            </w:pPr>
            <w:r>
              <w:rPr>
                <w:rFonts w:hint="eastAsia" w:cs="Times New Roman"/>
                <w:sz w:val="24"/>
                <w:szCs w:val="24"/>
              </w:rPr>
              <w:t>完善</w:t>
            </w:r>
            <w:r>
              <w:rPr>
                <w:rFonts w:cs="Times New Roman"/>
                <w:sz w:val="24"/>
                <w:szCs w:val="24"/>
              </w:rPr>
              <w:t>公交场站的规划</w:t>
            </w:r>
            <w:r>
              <w:rPr>
                <w:rFonts w:hint="eastAsia" w:cs="Times New Roman"/>
                <w:sz w:val="24"/>
                <w:szCs w:val="24"/>
              </w:rPr>
              <w:t>建设</w:t>
            </w:r>
            <w:r>
              <w:rPr>
                <w:rFonts w:cs="Times New Roman"/>
                <w:sz w:val="24"/>
                <w:szCs w:val="24"/>
              </w:rPr>
              <w:t>，</w:t>
            </w:r>
            <w:r>
              <w:rPr>
                <w:rFonts w:hint="eastAsia" w:cs="Times New Roman"/>
                <w:sz w:val="24"/>
                <w:szCs w:val="24"/>
              </w:rPr>
              <w:t>加强资源整合，大力推进</w:t>
            </w:r>
            <w:r>
              <w:rPr>
                <w:rFonts w:cs="Times New Roman"/>
                <w:sz w:val="24"/>
                <w:szCs w:val="24"/>
              </w:rPr>
              <w:t>大兴区</w:t>
            </w:r>
            <w:r>
              <w:rPr>
                <w:rFonts w:hint="eastAsia" w:cs="Times New Roman"/>
                <w:sz w:val="24"/>
                <w:szCs w:val="24"/>
              </w:rPr>
              <w:t>场站设施建设，公交站点500m覆盖率达到90%</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15</w:t>
            </w:r>
          </w:p>
        </w:tc>
        <w:tc>
          <w:tcPr>
            <w:tcW w:w="11466" w:type="dxa"/>
            <w:shd w:val="clear" w:color="auto" w:fill="auto"/>
            <w:vAlign w:val="center"/>
          </w:tcPr>
          <w:p>
            <w:pPr>
              <w:jc w:val="center"/>
              <w:rPr>
                <w:rFonts w:cs="Times New Roman"/>
                <w:sz w:val="24"/>
                <w:szCs w:val="24"/>
              </w:rPr>
            </w:pPr>
            <w:r>
              <w:rPr>
                <w:rFonts w:hint="eastAsia" w:cs="Times New Roman"/>
                <w:bCs/>
                <w:color w:val="000000"/>
                <w:kern w:val="0"/>
                <w:sz w:val="24"/>
                <w:szCs w:val="28"/>
              </w:rPr>
              <w:t>全面梳理站点停靠线路数，坚持公共交通优先与需求管理并重，科学合理设置公交港湾</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16</w:t>
            </w:r>
          </w:p>
        </w:tc>
        <w:tc>
          <w:tcPr>
            <w:tcW w:w="11466" w:type="dxa"/>
            <w:shd w:val="clear" w:color="auto" w:fill="auto"/>
            <w:vAlign w:val="center"/>
          </w:tcPr>
          <w:p>
            <w:pPr>
              <w:jc w:val="center"/>
              <w:rPr>
                <w:rFonts w:cs="Times New Roman"/>
                <w:sz w:val="24"/>
                <w:szCs w:val="24"/>
              </w:rPr>
            </w:pPr>
            <w:r>
              <w:rPr>
                <w:rFonts w:hint="eastAsia" w:cs="Times New Roman"/>
                <w:bCs/>
                <w:color w:val="000000"/>
                <w:kern w:val="0"/>
                <w:sz w:val="24"/>
                <w:szCs w:val="28"/>
              </w:rPr>
              <w:t>进一步完善公交站点设施，开展公交车站智能化建设，</w:t>
            </w:r>
            <w:r>
              <w:rPr>
                <w:rFonts w:cs="Times New Roman"/>
                <w:bCs/>
                <w:color w:val="000000"/>
                <w:kern w:val="0"/>
                <w:sz w:val="24"/>
                <w:szCs w:val="28"/>
              </w:rPr>
              <w:t>完成</w:t>
            </w:r>
            <w:r>
              <w:rPr>
                <w:rFonts w:hint="eastAsia" w:cs="Times New Roman"/>
                <w:bCs/>
                <w:color w:val="000000"/>
                <w:kern w:val="0"/>
                <w:sz w:val="24"/>
                <w:szCs w:val="28"/>
              </w:rPr>
              <w:t>“兴11路”</w:t>
            </w:r>
            <w:r>
              <w:rPr>
                <w:rFonts w:cs="Times New Roman"/>
                <w:bCs/>
                <w:color w:val="000000"/>
                <w:kern w:val="0"/>
                <w:sz w:val="24"/>
                <w:szCs w:val="28"/>
              </w:rPr>
              <w:t>公交示范线建设工作</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17</w:t>
            </w:r>
          </w:p>
        </w:tc>
        <w:tc>
          <w:tcPr>
            <w:tcW w:w="11466" w:type="dxa"/>
            <w:shd w:val="clear" w:color="auto" w:fill="auto"/>
            <w:vAlign w:val="center"/>
          </w:tcPr>
          <w:p>
            <w:pPr>
              <w:jc w:val="center"/>
              <w:rPr>
                <w:rFonts w:cs="Times New Roman"/>
                <w:sz w:val="24"/>
                <w:szCs w:val="24"/>
              </w:rPr>
            </w:pPr>
            <w:r>
              <w:rPr>
                <w:rFonts w:hint="eastAsia" w:cs="Times New Roman"/>
                <w:sz w:val="24"/>
                <w:szCs w:val="24"/>
              </w:rPr>
              <w:t>结合公交线网规划的实施同步施划公交专用道，</w:t>
            </w:r>
            <w:r>
              <w:rPr>
                <w:rFonts w:cs="Times New Roman"/>
                <w:sz w:val="24"/>
                <w:szCs w:val="24"/>
              </w:rPr>
              <w:t>积极依托城市干道施划</w:t>
            </w:r>
            <w:r>
              <w:rPr>
                <w:rFonts w:hint="eastAsia" w:cs="Times New Roman"/>
                <w:sz w:val="24"/>
                <w:szCs w:val="24"/>
              </w:rPr>
              <w:t>16公里</w:t>
            </w:r>
            <w:r>
              <w:rPr>
                <w:rFonts w:cs="Times New Roman"/>
                <w:sz w:val="24"/>
                <w:szCs w:val="24"/>
              </w:rPr>
              <w:t>公交专用道</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18</w:t>
            </w:r>
          </w:p>
        </w:tc>
        <w:tc>
          <w:tcPr>
            <w:tcW w:w="11466" w:type="dxa"/>
            <w:shd w:val="clear" w:color="auto" w:fill="auto"/>
            <w:vAlign w:val="center"/>
          </w:tcPr>
          <w:p>
            <w:pPr>
              <w:jc w:val="center"/>
              <w:rPr>
                <w:rFonts w:cs="Times New Roman"/>
                <w:sz w:val="24"/>
                <w:szCs w:val="24"/>
              </w:rPr>
            </w:pPr>
            <w:r>
              <w:rPr>
                <w:rFonts w:hint="eastAsia" w:cs="Times New Roman"/>
                <w:sz w:val="24"/>
              </w:rPr>
              <w:t>构建智慧交通体系，引导大兴区新兴交通模式健康发展，构建大兴区综合交通信息服务平台</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19</w:t>
            </w:r>
          </w:p>
        </w:tc>
        <w:tc>
          <w:tcPr>
            <w:tcW w:w="11466" w:type="dxa"/>
            <w:shd w:val="clear" w:color="auto" w:fill="auto"/>
            <w:vAlign w:val="center"/>
          </w:tcPr>
          <w:p>
            <w:pPr>
              <w:jc w:val="center"/>
              <w:rPr>
                <w:rFonts w:cs="Times New Roman"/>
                <w:sz w:val="24"/>
                <w:szCs w:val="24"/>
              </w:rPr>
            </w:pPr>
            <w:r>
              <w:rPr>
                <w:rFonts w:hint="eastAsia" w:cs="Times New Roman"/>
                <w:bCs/>
                <w:kern w:val="0"/>
                <w:sz w:val="24"/>
                <w:szCs w:val="28"/>
              </w:rPr>
              <w:t>提高货运行业绿色化水平，推动大兴区内货运企业规模化、品牌化发展，形成核心竞争力，引导货运企业使用新能源或清洁能源汽车比例逐年提高</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20</w:t>
            </w:r>
          </w:p>
        </w:tc>
        <w:tc>
          <w:tcPr>
            <w:tcW w:w="11466" w:type="dxa"/>
            <w:shd w:val="clear" w:color="auto" w:fill="auto"/>
            <w:vAlign w:val="center"/>
          </w:tcPr>
          <w:p>
            <w:pPr>
              <w:jc w:val="center"/>
              <w:rPr>
                <w:rFonts w:cs="Times New Roman"/>
                <w:sz w:val="24"/>
                <w:szCs w:val="24"/>
              </w:rPr>
            </w:pPr>
            <w:r>
              <w:rPr>
                <w:rFonts w:hint="eastAsia" w:cs="Times New Roman"/>
                <w:bCs/>
                <w:kern w:val="0"/>
                <w:sz w:val="24"/>
                <w:szCs w:val="28"/>
              </w:rPr>
              <w:t>以京南昌达物流为试点，助推“公转铁”多式联运并向现代物流转型升级</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21</w:t>
            </w:r>
          </w:p>
        </w:tc>
        <w:tc>
          <w:tcPr>
            <w:tcW w:w="11466" w:type="dxa"/>
            <w:shd w:val="clear" w:color="auto" w:fill="auto"/>
            <w:vAlign w:val="center"/>
          </w:tcPr>
          <w:p>
            <w:pPr>
              <w:snapToGrid w:val="0"/>
              <w:jc w:val="center"/>
              <w:rPr>
                <w:rFonts w:cs="Times New Roman"/>
                <w:bCs/>
                <w:kern w:val="0"/>
                <w:sz w:val="24"/>
                <w:szCs w:val="28"/>
              </w:rPr>
            </w:pPr>
            <w:r>
              <w:rPr>
                <w:rFonts w:hint="eastAsia" w:cs="Times New Roman"/>
                <w:bCs/>
                <w:kern w:val="0"/>
                <w:sz w:val="24"/>
                <w:szCs w:val="28"/>
              </w:rPr>
              <w:t>持续推进《大兴区政府购买境内公交服务实施办法》，加强对境内公交企业的动态监管，开展精细化管理</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22</w:t>
            </w:r>
          </w:p>
        </w:tc>
        <w:tc>
          <w:tcPr>
            <w:tcW w:w="11466" w:type="dxa"/>
            <w:shd w:val="clear" w:color="auto" w:fill="auto"/>
            <w:vAlign w:val="center"/>
          </w:tcPr>
          <w:p>
            <w:pPr>
              <w:snapToGrid w:val="0"/>
              <w:jc w:val="center"/>
              <w:rPr>
                <w:rFonts w:cs="Times New Roman"/>
                <w:bCs/>
                <w:kern w:val="0"/>
                <w:sz w:val="24"/>
                <w:szCs w:val="28"/>
              </w:rPr>
            </w:pPr>
            <w:r>
              <w:rPr>
                <w:rFonts w:hint="eastAsia" w:cs="Times New Roman"/>
                <w:bCs/>
                <w:kern w:val="0"/>
                <w:sz w:val="24"/>
                <w:szCs w:val="28"/>
              </w:rPr>
              <w:t>坚持问题导向，落实大兴区“1</w:t>
            </w:r>
            <w:r>
              <w:rPr>
                <w:rFonts w:cs="Times New Roman"/>
                <w:bCs/>
                <w:kern w:val="0"/>
                <w:sz w:val="24"/>
                <w:szCs w:val="28"/>
              </w:rPr>
              <w:t>2345</w:t>
            </w:r>
            <w:r>
              <w:rPr>
                <w:rFonts w:hint="eastAsia" w:cs="Times New Roman"/>
                <w:bCs/>
                <w:kern w:val="0"/>
                <w:sz w:val="24"/>
                <w:szCs w:val="28"/>
              </w:rPr>
              <w:t>”热线接诉即办机制，提升热线的响应率、解决率和满意率</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24</w:t>
            </w:r>
          </w:p>
        </w:tc>
        <w:tc>
          <w:tcPr>
            <w:tcW w:w="11466" w:type="dxa"/>
            <w:shd w:val="clear" w:color="auto" w:fill="auto"/>
            <w:vAlign w:val="center"/>
          </w:tcPr>
          <w:p>
            <w:pPr>
              <w:snapToGrid w:val="0"/>
              <w:jc w:val="center"/>
              <w:rPr>
                <w:rFonts w:cs="Times New Roman"/>
                <w:bCs/>
                <w:kern w:val="0"/>
                <w:sz w:val="24"/>
                <w:szCs w:val="28"/>
              </w:rPr>
            </w:pPr>
            <w:r>
              <w:rPr>
                <w:rFonts w:hint="eastAsia" w:cs="Times New Roman"/>
                <w:sz w:val="24"/>
              </w:rPr>
              <w:t>提高货运信息化管理水平，完善动态监督管理工作，进一步加强货运行业风险管理</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25</w:t>
            </w:r>
          </w:p>
        </w:tc>
        <w:tc>
          <w:tcPr>
            <w:tcW w:w="11466" w:type="dxa"/>
            <w:shd w:val="clear" w:color="auto" w:fill="auto"/>
            <w:vAlign w:val="center"/>
          </w:tcPr>
          <w:p>
            <w:pPr>
              <w:snapToGrid w:val="0"/>
              <w:jc w:val="center"/>
              <w:rPr>
                <w:rFonts w:cs="Times New Roman"/>
                <w:bCs/>
                <w:kern w:val="0"/>
                <w:sz w:val="24"/>
                <w:szCs w:val="28"/>
              </w:rPr>
            </w:pPr>
            <w:r>
              <w:rPr>
                <w:rFonts w:hint="eastAsia" w:cs="Times New Roman"/>
                <w:sz w:val="24"/>
              </w:rPr>
              <w:t>推进机动车维修经营改革，加快汽车维修行业发展，推进企业结构改革，一、二类企业占比达到5</w:t>
            </w:r>
            <w:r>
              <w:rPr>
                <w:rFonts w:cs="Times New Roman"/>
                <w:sz w:val="24"/>
              </w:rPr>
              <w:t>5</w:t>
            </w:r>
            <w:r>
              <w:rPr>
                <w:rFonts w:hint="eastAsia" w:cs="Times New Roman"/>
                <w:sz w:val="24"/>
              </w:rPr>
              <w:t>%</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26</w:t>
            </w:r>
          </w:p>
        </w:tc>
        <w:tc>
          <w:tcPr>
            <w:tcW w:w="11466" w:type="dxa"/>
            <w:shd w:val="clear" w:color="auto" w:fill="auto"/>
            <w:vAlign w:val="center"/>
          </w:tcPr>
          <w:p>
            <w:pPr>
              <w:jc w:val="center"/>
              <w:rPr>
                <w:rFonts w:cs="Times New Roman"/>
                <w:sz w:val="24"/>
              </w:rPr>
            </w:pPr>
            <w:r>
              <w:rPr>
                <w:rFonts w:hint="eastAsia" w:cs="Times New Roman"/>
                <w:sz w:val="24"/>
              </w:rPr>
              <w:t>提高治超非现场执法力度，推动非现场执法设备增设工作，加强科技手段治理能力</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27</w:t>
            </w:r>
          </w:p>
        </w:tc>
        <w:tc>
          <w:tcPr>
            <w:tcW w:w="11466" w:type="dxa"/>
            <w:shd w:val="clear" w:color="auto" w:fill="auto"/>
            <w:vAlign w:val="center"/>
          </w:tcPr>
          <w:p>
            <w:pPr>
              <w:autoSpaceDE w:val="0"/>
              <w:autoSpaceDN w:val="0"/>
              <w:adjustRightInd w:val="0"/>
              <w:snapToGrid w:val="0"/>
              <w:jc w:val="center"/>
              <w:rPr>
                <w:rFonts w:cs="Times New Roman"/>
                <w:bCs/>
                <w:kern w:val="0"/>
                <w:sz w:val="24"/>
                <w:szCs w:val="28"/>
              </w:rPr>
            </w:pPr>
            <w:r>
              <w:rPr>
                <w:rFonts w:hint="eastAsia" w:cs="Times New Roman"/>
                <w:sz w:val="24"/>
              </w:rPr>
              <w:t>加快推进大兴区综合检查站规划与建设工作，推动京澳路综检站、大礼路东站等综检站的实施建设</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33" w:type="dxa"/>
            <w:shd w:val="clear" w:color="auto" w:fill="auto"/>
            <w:vAlign w:val="center"/>
          </w:tcPr>
          <w:p>
            <w:pPr>
              <w:snapToGrid w:val="0"/>
              <w:jc w:val="center"/>
              <w:rPr>
                <w:rFonts w:cs="Times New Roman"/>
                <w:b/>
                <w:bCs/>
                <w:kern w:val="0"/>
                <w:sz w:val="24"/>
                <w:szCs w:val="28"/>
              </w:rPr>
            </w:pPr>
            <w:r>
              <w:rPr>
                <w:rFonts w:cs="Times New Roman"/>
                <w:b/>
                <w:bCs/>
                <w:kern w:val="0"/>
                <w:sz w:val="24"/>
                <w:szCs w:val="28"/>
              </w:rPr>
              <w:t>任务</w:t>
            </w:r>
            <w:r>
              <w:rPr>
                <w:rFonts w:hint="eastAsia" w:cs="Times New Roman"/>
                <w:b/>
                <w:bCs/>
                <w:kern w:val="0"/>
                <w:sz w:val="24"/>
                <w:szCs w:val="28"/>
              </w:rPr>
              <w:t>28</w:t>
            </w:r>
          </w:p>
        </w:tc>
        <w:tc>
          <w:tcPr>
            <w:tcW w:w="11466" w:type="dxa"/>
            <w:shd w:val="clear" w:color="auto" w:fill="auto"/>
            <w:vAlign w:val="center"/>
          </w:tcPr>
          <w:p>
            <w:pPr>
              <w:snapToGrid w:val="0"/>
              <w:jc w:val="center"/>
              <w:rPr>
                <w:rFonts w:cs="Times New Roman"/>
                <w:bCs/>
                <w:kern w:val="0"/>
                <w:sz w:val="24"/>
                <w:szCs w:val="28"/>
              </w:rPr>
            </w:pPr>
            <w:r>
              <w:rPr>
                <w:rFonts w:cs="Times New Roman"/>
                <w:sz w:val="24"/>
              </w:rPr>
              <w:t>强化安全应急管理</w:t>
            </w:r>
            <w:r>
              <w:rPr>
                <w:rFonts w:hint="eastAsia" w:cs="Times New Roman"/>
                <w:sz w:val="24"/>
              </w:rPr>
              <w:t>，</w:t>
            </w:r>
            <w:r>
              <w:rPr>
                <w:rFonts w:cs="Times New Roman"/>
                <w:sz w:val="24"/>
              </w:rPr>
              <w:t>提升交通韧性</w:t>
            </w:r>
            <w:bookmarkStart w:id="6" w:name="_Toc56067249"/>
            <w:r>
              <w:rPr>
                <w:rFonts w:hint="eastAsia" w:cs="Times New Roman"/>
                <w:sz w:val="24"/>
              </w:rPr>
              <w:t>，完善安全生产风险管理</w:t>
            </w:r>
            <w:bookmarkEnd w:id="6"/>
            <w:r>
              <w:rPr>
                <w:rFonts w:hint="eastAsia" w:cs="Times New Roman"/>
                <w:sz w:val="24"/>
              </w:rPr>
              <w:t>机制，</w:t>
            </w:r>
            <w:bookmarkStart w:id="7" w:name="_Toc56067250"/>
            <w:r>
              <w:rPr>
                <w:rFonts w:hint="eastAsia" w:cs="Times New Roman"/>
                <w:sz w:val="24"/>
              </w:rPr>
              <w:t>加强交通运输系统应急救援保障</w:t>
            </w:r>
            <w:bookmarkEnd w:id="7"/>
            <w:r>
              <w:rPr>
                <w:rFonts w:hint="eastAsia" w:cs="Times New Roman"/>
                <w:sz w:val="24"/>
              </w:rPr>
              <w:t>能力建设</w:t>
            </w:r>
          </w:p>
        </w:tc>
        <w:tc>
          <w:tcPr>
            <w:tcW w:w="1326" w:type="dxa"/>
            <w:vAlign w:val="center"/>
          </w:tcPr>
          <w:p>
            <w:pPr>
              <w:snapToGrid w:val="0"/>
              <w:jc w:val="center"/>
              <w:rPr>
                <w:rFonts w:cs="Times New Roman"/>
                <w:bCs/>
                <w:kern w:val="0"/>
                <w:sz w:val="24"/>
                <w:szCs w:val="28"/>
              </w:rPr>
            </w:pPr>
            <w:r>
              <w:rPr>
                <w:rFonts w:hint="eastAsia" w:cs="Times New Roman"/>
                <w:bCs/>
                <w:kern w:val="0"/>
                <w:sz w:val="24"/>
                <w:szCs w:val="28"/>
              </w:rPr>
              <w:t>2025年</w:t>
            </w:r>
          </w:p>
        </w:tc>
      </w:tr>
    </w:tbl>
    <w:p>
      <w:pPr>
        <w:snapToGrid w:val="0"/>
        <w:spacing w:line="360" w:lineRule="auto"/>
        <w:ind w:firstLine="560" w:firstLineChars="200"/>
        <w:jc w:val="center"/>
      </w:pPr>
    </w:p>
    <w:p>
      <w:pPr>
        <w:ind w:firstLine="560" w:firstLineChars="200"/>
      </w:pPr>
    </w:p>
    <w:p>
      <w:pPr>
        <w:ind w:firstLine="560" w:firstLineChars="200"/>
        <w:sectPr>
          <w:pgSz w:w="16838" w:h="11906" w:orient="landscape"/>
          <w:pgMar w:top="1800" w:right="1440" w:bottom="1800" w:left="1440" w:header="851" w:footer="992" w:gutter="0"/>
          <w:cols w:space="425" w:num="1"/>
          <w:docGrid w:type="lines" w:linePitch="381" w:charSpace="0"/>
        </w:sectPr>
      </w:pPr>
    </w:p>
    <w:p>
      <w:pPr>
        <w:pStyle w:val="2"/>
        <w:spacing w:before="190" w:after="190" w:line="560" w:lineRule="exact"/>
        <w:rPr>
          <w:rFonts w:ascii="黑体" w:hAnsi="黑体" w:cs="Times New Roman"/>
          <w:b w:val="0"/>
        </w:rPr>
      </w:pPr>
      <w:bookmarkStart w:id="8" w:name="_Toc56458023"/>
      <w:r>
        <w:rPr>
          <w:rFonts w:ascii="黑体" w:hAnsi="黑体" w:cs="Times New Roman"/>
          <w:b w:val="0"/>
        </w:rPr>
        <w:t>附图</w:t>
      </w:r>
      <w:bookmarkEnd w:id="8"/>
    </w:p>
    <w:p>
      <w:pPr>
        <w:spacing w:line="360" w:lineRule="auto"/>
        <w:ind w:firstLine="640" w:firstLineChars="200"/>
        <w:rPr>
          <w:rFonts w:ascii="黑体" w:hAnsi="黑体" w:eastAsia="黑体"/>
          <w:color w:val="000000"/>
          <w:sz w:val="32"/>
          <w:szCs w:val="32"/>
        </w:rPr>
      </w:pPr>
      <w:bookmarkStart w:id="9" w:name="_Toc56458024"/>
      <w:r>
        <w:rPr>
          <w:rFonts w:hint="eastAsia" w:ascii="黑体" w:hAnsi="黑体" w:eastAsia="黑体"/>
          <w:color w:val="000000"/>
          <w:sz w:val="32"/>
          <w:szCs w:val="32"/>
        </w:rPr>
        <w:t>01 规划研究范围</w:t>
      </w:r>
      <w:bookmarkEnd w:id="9"/>
    </w:p>
    <w:p>
      <w:pPr>
        <w:spacing w:line="360" w:lineRule="auto"/>
        <w:ind w:firstLine="640" w:firstLineChars="200"/>
        <w:rPr>
          <w:rFonts w:ascii="黑体" w:hAnsi="黑体" w:eastAsia="黑体"/>
          <w:color w:val="000000"/>
          <w:sz w:val="32"/>
          <w:szCs w:val="32"/>
        </w:rPr>
      </w:pPr>
      <w:bookmarkStart w:id="10" w:name="_Toc56458025"/>
      <w:r>
        <w:rPr>
          <w:rFonts w:hint="eastAsia" w:ascii="黑体" w:hAnsi="黑体" w:eastAsia="黑体"/>
          <w:color w:val="000000"/>
          <w:sz w:val="32"/>
          <w:szCs w:val="32"/>
        </w:rPr>
        <w:t>02 郊区客运运营线路图</w:t>
      </w:r>
      <w:bookmarkEnd w:id="10"/>
    </w:p>
    <w:p>
      <w:pPr>
        <w:spacing w:line="360" w:lineRule="auto"/>
        <w:ind w:firstLine="640" w:firstLineChars="200"/>
        <w:rPr>
          <w:rFonts w:ascii="黑体" w:hAnsi="黑体" w:eastAsia="黑体"/>
          <w:color w:val="000000"/>
          <w:sz w:val="32"/>
          <w:szCs w:val="32"/>
        </w:rPr>
      </w:pPr>
      <w:bookmarkStart w:id="11" w:name="_Toc56458026"/>
      <w:r>
        <w:rPr>
          <w:rFonts w:hint="eastAsia" w:ascii="黑体" w:hAnsi="黑体" w:eastAsia="黑体"/>
          <w:color w:val="000000"/>
          <w:sz w:val="32"/>
          <w:szCs w:val="32"/>
        </w:rPr>
        <w:t>03 大兴区境内客运企业公交场站位置示意图</w:t>
      </w:r>
      <w:bookmarkEnd w:id="11"/>
    </w:p>
    <w:p>
      <w:pPr>
        <w:spacing w:line="360" w:lineRule="auto"/>
        <w:ind w:firstLine="640" w:firstLineChars="200"/>
        <w:rPr>
          <w:rFonts w:ascii="黑体" w:hAnsi="黑体" w:eastAsia="黑体"/>
          <w:color w:val="000000"/>
          <w:sz w:val="32"/>
          <w:szCs w:val="32"/>
        </w:rPr>
      </w:pPr>
      <w:bookmarkStart w:id="12" w:name="_Toc56458027"/>
      <w:r>
        <w:rPr>
          <w:rFonts w:hint="eastAsia" w:ascii="黑体" w:hAnsi="黑体" w:eastAsia="黑体"/>
          <w:color w:val="000000"/>
          <w:sz w:val="32"/>
          <w:szCs w:val="32"/>
        </w:rPr>
        <w:t>04 大兴区治超站现状位置分布</w:t>
      </w:r>
      <w:bookmarkEnd w:id="12"/>
    </w:p>
    <w:p>
      <w:pPr>
        <w:spacing w:line="360" w:lineRule="auto"/>
        <w:ind w:firstLine="640" w:firstLineChars="200"/>
        <w:rPr>
          <w:rFonts w:ascii="黑体" w:hAnsi="黑体" w:eastAsia="黑体"/>
          <w:color w:val="000000"/>
          <w:sz w:val="32"/>
          <w:szCs w:val="32"/>
        </w:rPr>
      </w:pPr>
      <w:bookmarkStart w:id="13" w:name="_Toc56458028"/>
      <w:r>
        <w:rPr>
          <w:rFonts w:hint="eastAsia" w:ascii="黑体" w:hAnsi="黑体" w:eastAsia="黑体"/>
          <w:color w:val="000000"/>
          <w:sz w:val="32"/>
          <w:szCs w:val="32"/>
        </w:rPr>
        <w:t>05 “十四五”期间大兴区内与中心城连接线路示意图</w:t>
      </w:r>
      <w:bookmarkEnd w:id="13"/>
    </w:p>
    <w:p>
      <w:pPr>
        <w:spacing w:line="360" w:lineRule="auto"/>
        <w:ind w:firstLine="640" w:firstLineChars="200"/>
        <w:rPr>
          <w:rFonts w:ascii="黑体" w:hAnsi="黑体" w:eastAsia="黑体"/>
          <w:color w:val="000000"/>
          <w:sz w:val="32"/>
          <w:szCs w:val="32"/>
        </w:rPr>
      </w:pPr>
      <w:bookmarkStart w:id="14" w:name="_Toc56458029"/>
      <w:r>
        <w:rPr>
          <w:rFonts w:hint="eastAsia" w:ascii="黑体" w:hAnsi="黑体" w:eastAsia="黑体"/>
          <w:color w:val="000000"/>
          <w:sz w:val="32"/>
          <w:szCs w:val="32"/>
        </w:rPr>
        <w:t>06 大兴机场新增公交线路示意图</w:t>
      </w:r>
      <w:bookmarkEnd w:id="14"/>
    </w:p>
    <w:p>
      <w:pPr>
        <w:spacing w:line="360" w:lineRule="auto"/>
        <w:ind w:firstLine="640" w:firstLineChars="200"/>
        <w:rPr>
          <w:rFonts w:ascii="黑体" w:hAnsi="黑体" w:eastAsia="黑体"/>
          <w:color w:val="000000"/>
          <w:sz w:val="32"/>
          <w:szCs w:val="32"/>
        </w:rPr>
      </w:pPr>
      <w:bookmarkStart w:id="15" w:name="_Toc56458030"/>
      <w:r>
        <w:rPr>
          <w:rFonts w:hint="eastAsia" w:ascii="黑体" w:hAnsi="黑体" w:eastAsia="黑体"/>
          <w:color w:val="000000"/>
          <w:sz w:val="32"/>
          <w:szCs w:val="32"/>
        </w:rPr>
        <w:t>07 大兴新城与亦庄新城间新建线路图</w:t>
      </w:r>
      <w:bookmarkEnd w:id="15"/>
    </w:p>
    <w:p>
      <w:pPr>
        <w:spacing w:line="360" w:lineRule="auto"/>
        <w:ind w:firstLine="640" w:firstLineChars="200"/>
        <w:rPr>
          <w:rFonts w:ascii="黑体" w:hAnsi="黑体" w:eastAsia="黑体"/>
          <w:color w:val="000000"/>
          <w:sz w:val="32"/>
          <w:szCs w:val="32"/>
        </w:rPr>
      </w:pPr>
      <w:bookmarkStart w:id="16" w:name="_Toc56458031"/>
      <w:r>
        <w:rPr>
          <w:rFonts w:hint="eastAsia" w:ascii="黑体" w:hAnsi="黑体" w:eastAsia="黑体"/>
          <w:color w:val="000000"/>
          <w:sz w:val="32"/>
          <w:szCs w:val="32"/>
        </w:rPr>
        <w:t>08 大兴区内与京津冀城市群连接线路示意图</w:t>
      </w:r>
      <w:bookmarkEnd w:id="16"/>
    </w:p>
    <w:p>
      <w:pPr>
        <w:spacing w:line="360" w:lineRule="auto"/>
        <w:ind w:firstLine="640" w:firstLineChars="200"/>
        <w:rPr>
          <w:rFonts w:ascii="黑体" w:hAnsi="黑体" w:eastAsia="黑体"/>
          <w:color w:val="000000"/>
          <w:sz w:val="32"/>
          <w:szCs w:val="32"/>
        </w:rPr>
      </w:pPr>
      <w:bookmarkStart w:id="17" w:name="_Toc56458033"/>
      <w:r>
        <w:rPr>
          <w:rFonts w:hint="eastAsia" w:ascii="黑体" w:hAnsi="黑体" w:eastAsia="黑体"/>
          <w:color w:val="000000"/>
          <w:sz w:val="32"/>
          <w:szCs w:val="32"/>
        </w:rPr>
        <w:t>09 在建与计划实施的公交场站位置示意图</w:t>
      </w:r>
      <w:bookmarkEnd w:id="17"/>
    </w:p>
    <w:p>
      <w:pPr>
        <w:spacing w:line="360" w:lineRule="auto"/>
        <w:ind w:firstLine="640" w:firstLineChars="200"/>
        <w:rPr>
          <w:rFonts w:ascii="黑体" w:hAnsi="黑体" w:eastAsia="黑体"/>
          <w:color w:val="000000"/>
          <w:sz w:val="32"/>
          <w:szCs w:val="32"/>
        </w:rPr>
      </w:pPr>
      <w:bookmarkStart w:id="18" w:name="_Toc56458034"/>
      <w:r>
        <w:rPr>
          <w:rFonts w:hint="eastAsia" w:ascii="黑体" w:hAnsi="黑体" w:eastAsia="黑体"/>
          <w:color w:val="000000"/>
          <w:sz w:val="32"/>
          <w:szCs w:val="32"/>
        </w:rPr>
        <w:t>10 综合检查站改造及新建任务</w:t>
      </w:r>
      <w:bookmarkEnd w:id="18"/>
    </w:p>
    <w:p>
      <w:pPr>
        <w:sectPr>
          <w:pgSz w:w="11906" w:h="16838"/>
          <w:pgMar w:top="1440" w:right="1800" w:bottom="1440" w:left="1800" w:header="851" w:footer="992" w:gutter="0"/>
          <w:cols w:space="425" w:num="1"/>
          <w:docGrid w:type="lines" w:linePitch="381" w:charSpace="0"/>
        </w:sectPr>
      </w:pPr>
      <w:r>
        <w:rPr>
          <w:rFonts w:hint="eastAsia"/>
        </w:rPr>
        <w:t xml:space="preserve"> </w:t>
      </w:r>
    </w:p>
    <w:p>
      <w:pPr>
        <w:jc w:val="left"/>
      </w:pPr>
      <w:r>
        <w:drawing>
          <wp:inline distT="0" distB="0" distL="0" distR="0">
            <wp:extent cx="5759450" cy="8143240"/>
            <wp:effectExtent l="0" t="0" r="6350" b="1016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
                    <a:srcRect b="1420"/>
                    <a:stretch>
                      <a:fillRect/>
                    </a:stretch>
                  </pic:blipFill>
                  <pic:spPr>
                    <a:xfrm>
                      <a:off x="0" y="0"/>
                      <a:ext cx="5759450" cy="8143240"/>
                    </a:xfrm>
                    <a:prstGeom prst="rect">
                      <a:avLst/>
                    </a:prstGeom>
                    <a:ln>
                      <a:noFill/>
                    </a:ln>
                  </pic:spPr>
                </pic:pic>
              </a:graphicData>
            </a:graphic>
          </wp:inline>
        </w:drawing>
      </w:r>
      <w:r>
        <w:drawing>
          <wp:inline distT="0" distB="0" distL="0" distR="0">
            <wp:extent cx="6355080" cy="8950960"/>
            <wp:effectExtent l="0" t="0" r="7620" b="25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
                    <a:srcRect b="2359"/>
                    <a:stretch>
                      <a:fillRect/>
                    </a:stretch>
                  </pic:blipFill>
                  <pic:spPr>
                    <a:xfrm>
                      <a:off x="0" y="0"/>
                      <a:ext cx="6355080" cy="8950960"/>
                    </a:xfrm>
                    <a:prstGeom prst="rect">
                      <a:avLst/>
                    </a:prstGeom>
                    <a:ln>
                      <a:noFill/>
                    </a:ln>
                  </pic:spPr>
                </pic:pic>
              </a:graphicData>
            </a:graphic>
          </wp:inline>
        </w:drawing>
      </w:r>
      <w:r>
        <w:drawing>
          <wp:inline distT="0" distB="0" distL="0" distR="0">
            <wp:extent cx="6050915" cy="8637905"/>
            <wp:effectExtent l="0" t="0" r="6985" b="1079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
                    <a:srcRect l="725" r="1301" b="3451"/>
                    <a:stretch>
                      <a:fillRect/>
                    </a:stretch>
                  </pic:blipFill>
                  <pic:spPr>
                    <a:xfrm>
                      <a:off x="0" y="0"/>
                      <a:ext cx="6050915" cy="8637905"/>
                    </a:xfrm>
                    <a:prstGeom prst="rect">
                      <a:avLst/>
                    </a:prstGeom>
                    <a:ln>
                      <a:noFill/>
                    </a:ln>
                  </pic:spPr>
                </pic:pic>
              </a:graphicData>
            </a:graphic>
          </wp:inline>
        </w:drawing>
      </w:r>
      <w:r>
        <w:drawing>
          <wp:inline distT="0" distB="0" distL="0" distR="0">
            <wp:extent cx="6283325" cy="8905875"/>
            <wp:effectExtent l="0" t="0" r="317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rcRect b="25648"/>
                    <a:stretch>
                      <a:fillRect/>
                    </a:stretch>
                  </pic:blipFill>
                  <pic:spPr>
                    <a:xfrm>
                      <a:off x="0" y="0"/>
                      <a:ext cx="6283325" cy="8905875"/>
                    </a:xfrm>
                    <a:prstGeom prst="rect">
                      <a:avLst/>
                    </a:prstGeom>
                    <a:ln>
                      <a:noFill/>
                    </a:ln>
                  </pic:spPr>
                </pic:pic>
              </a:graphicData>
            </a:graphic>
          </wp:inline>
        </w:drawing>
      </w:r>
      <w:r>
        <w:drawing>
          <wp:inline distT="0" distB="0" distL="0" distR="0">
            <wp:extent cx="6370320" cy="8997315"/>
            <wp:effectExtent l="0" t="0" r="5080" b="698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8"/>
                    <a:srcRect l="616" t="668" b="1548"/>
                    <a:stretch>
                      <a:fillRect/>
                    </a:stretch>
                  </pic:blipFill>
                  <pic:spPr>
                    <a:xfrm>
                      <a:off x="0" y="0"/>
                      <a:ext cx="6370320" cy="8997315"/>
                    </a:xfrm>
                    <a:prstGeom prst="rect">
                      <a:avLst/>
                    </a:prstGeom>
                    <a:ln>
                      <a:noFill/>
                    </a:ln>
                  </pic:spPr>
                </pic:pic>
              </a:graphicData>
            </a:graphic>
          </wp:inline>
        </w:drawing>
      </w:r>
      <w:r>
        <w:drawing>
          <wp:inline distT="0" distB="0" distL="0" distR="0">
            <wp:extent cx="5862320" cy="8275955"/>
            <wp:effectExtent l="0" t="0" r="5080" b="4445"/>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pic:cNvPicPr>
                  </pic:nvPicPr>
                  <pic:blipFill>
                    <a:blip r:embed="rId9"/>
                    <a:stretch>
                      <a:fillRect/>
                    </a:stretch>
                  </pic:blipFill>
                  <pic:spPr>
                    <a:xfrm>
                      <a:off x="0" y="0"/>
                      <a:ext cx="5862320" cy="8275955"/>
                    </a:xfrm>
                    <a:prstGeom prst="rect">
                      <a:avLst/>
                    </a:prstGeom>
                  </pic:spPr>
                </pic:pic>
              </a:graphicData>
            </a:graphic>
          </wp:inline>
        </w:drawing>
      </w:r>
      <w:r>
        <w:drawing>
          <wp:inline distT="0" distB="0" distL="0" distR="0">
            <wp:extent cx="6276975" cy="8850630"/>
            <wp:effectExtent l="0" t="0" r="9525" b="127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10"/>
                    <a:srcRect b="2404"/>
                    <a:stretch>
                      <a:fillRect/>
                    </a:stretch>
                  </pic:blipFill>
                  <pic:spPr>
                    <a:xfrm>
                      <a:off x="0" y="0"/>
                      <a:ext cx="6276975" cy="8850630"/>
                    </a:xfrm>
                    <a:prstGeom prst="rect">
                      <a:avLst/>
                    </a:prstGeom>
                    <a:ln>
                      <a:noFill/>
                    </a:ln>
                  </pic:spPr>
                </pic:pic>
              </a:graphicData>
            </a:graphic>
          </wp:inline>
        </w:drawing>
      </w:r>
      <w:r>
        <w:drawing>
          <wp:inline distT="0" distB="0" distL="0" distR="0">
            <wp:extent cx="6346825" cy="8990965"/>
            <wp:effectExtent l="0" t="0" r="3175" b="635"/>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11"/>
                    <a:srcRect r="972" b="3102"/>
                    <a:stretch>
                      <a:fillRect/>
                    </a:stretch>
                  </pic:blipFill>
                  <pic:spPr>
                    <a:xfrm>
                      <a:off x="0" y="0"/>
                      <a:ext cx="6346825" cy="8990965"/>
                    </a:xfrm>
                    <a:prstGeom prst="rect">
                      <a:avLst/>
                    </a:prstGeom>
                    <a:ln>
                      <a:noFill/>
                    </a:ln>
                  </pic:spPr>
                </pic:pic>
              </a:graphicData>
            </a:graphic>
          </wp:inline>
        </w:drawing>
      </w:r>
    </w:p>
    <w:p>
      <w:pPr>
        <w:jc w:val="right"/>
      </w:pPr>
      <w:r>
        <w:drawing>
          <wp:inline distT="0" distB="0" distL="0" distR="0">
            <wp:extent cx="6212840" cy="877824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b="3875"/>
                    <a:stretch>
                      <a:fillRect/>
                    </a:stretch>
                  </pic:blipFill>
                  <pic:spPr>
                    <a:xfrm>
                      <a:off x="0" y="0"/>
                      <a:ext cx="6212840" cy="8778240"/>
                    </a:xfrm>
                    <a:prstGeom prst="rect">
                      <a:avLst/>
                    </a:prstGeom>
                    <a:ln>
                      <a:noFill/>
                    </a:ln>
                  </pic:spPr>
                </pic:pic>
              </a:graphicData>
            </a:graphic>
          </wp:inline>
        </w:drawing>
      </w:r>
    </w:p>
    <w:p>
      <w:r>
        <w:drawing>
          <wp:inline distT="0" distB="0" distL="0" distR="0">
            <wp:extent cx="5556250" cy="7793990"/>
            <wp:effectExtent l="0" t="0" r="635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rcRect t="573"/>
                    <a:stretch>
                      <a:fillRect/>
                    </a:stretch>
                  </pic:blipFill>
                  <pic:spPr>
                    <a:xfrm>
                      <a:off x="0" y="0"/>
                      <a:ext cx="5556250" cy="7793990"/>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mODEzMjhjYzAyOGQ2M2M1OWQ1ODAyZTg4N2UwN2UifQ=="/>
  </w:docVars>
  <w:rsids>
    <w:rsidRoot w:val="7A0A337E"/>
    <w:rsid w:val="7A0A3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heme="minorBidi"/>
      <w:kern w:val="2"/>
      <w:sz w:val="28"/>
      <w:szCs w:val="22"/>
      <w:lang w:val="en-US" w:eastAsia="zh-CN" w:bidi="ar-SA"/>
    </w:rPr>
  </w:style>
  <w:style w:type="paragraph" w:styleId="2">
    <w:name w:val="heading 1"/>
    <w:basedOn w:val="1"/>
    <w:next w:val="1"/>
    <w:qFormat/>
    <w:uiPriority w:val="9"/>
    <w:pPr>
      <w:keepNext/>
      <w:keepLines/>
      <w:spacing w:before="156" w:beforeLines="50" w:after="156" w:afterLines="50" w:line="480" w:lineRule="auto"/>
      <w:outlineLvl w:val="0"/>
    </w:pPr>
    <w:rPr>
      <w:rFonts w:eastAsia="黑体"/>
      <w:b/>
      <w:bCs/>
      <w:kern w:val="44"/>
      <w:sz w:val="32"/>
      <w:szCs w:val="44"/>
    </w:rPr>
  </w:style>
  <w:style w:type="paragraph" w:styleId="3">
    <w:name w:val="heading 2"/>
    <w:basedOn w:val="1"/>
    <w:next w:val="1"/>
    <w:unhideWhenUsed/>
    <w:qFormat/>
    <w:uiPriority w:val="9"/>
    <w:pPr>
      <w:keepNext/>
      <w:keepLines/>
      <w:spacing w:line="360" w:lineRule="auto"/>
      <w:outlineLvl w:val="1"/>
    </w:pPr>
    <w:rPr>
      <w:rFonts w:eastAsia="楷体" w:cstheme="majorBidi"/>
      <w:b/>
      <w:bCs/>
      <w:sz w:val="32"/>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2022-07-12T06:28:00Z</dcterms:created>
  <dc:creator>米露露</dc:creator>
  <cp:lastModifiedBy>米露露</cp:lastModifiedBy>
  <dcterms:modified xsi:type="dcterms:W3CDTF">2022-07-12T06:30:07Z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3DED1954ED674E2985CA563D580321B9</vt:lpwstr>
  </property>
</Properties>
</file>