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topLinePunct w:val="0"/>
        <w:bidi w:val="0"/>
        <w:spacing w:before="0" w:after="0" w:line="560" w:lineRule="exact"/>
        <w:jc w:val="center"/>
        <w:rPr>
          <w:rFonts w:hint="eastAsia" w:ascii="方正小标宋简体" w:eastAsia="方正小标宋简体"/>
          <w:b w:val="0"/>
          <w:color w:val="000000" w:themeColor="text1"/>
          <w:highlight w:val="none"/>
          <w:lang w:eastAsia="zh-CN"/>
          <w14:textFill>
            <w14:solidFill>
              <w14:schemeClr w14:val="tx1"/>
            </w14:solidFill>
          </w14:textFill>
        </w:rPr>
      </w:pPr>
      <w:bookmarkStart w:id="0" w:name="_Toc26544"/>
      <w:bookmarkStart w:id="1" w:name="_Toc16847"/>
      <w:bookmarkStart w:id="2" w:name="_Toc90318420"/>
      <w:bookmarkStart w:id="3" w:name="_Toc1353"/>
      <w:bookmarkStart w:id="4" w:name="_Toc24541"/>
      <w:bookmarkStart w:id="5" w:name="_Toc2507"/>
      <w:bookmarkStart w:id="6" w:name="_Toc16303"/>
      <w:bookmarkStart w:id="248" w:name="_GoBack"/>
      <w:r>
        <w:rPr>
          <w:rFonts w:hint="eastAsia" w:ascii="方正小标宋简体" w:eastAsia="方正小标宋简体"/>
          <w:b w:val="0"/>
          <w:color w:val="000000" w:themeColor="text1"/>
          <w:highlight w:val="none"/>
          <w14:textFill>
            <w14:solidFill>
              <w14:schemeClr w14:val="tx1"/>
            </w14:solidFill>
          </w14:textFill>
        </w:rPr>
        <w:t>第三章  重点任务与重大</w:t>
      </w:r>
      <w:bookmarkEnd w:id="0"/>
      <w:bookmarkEnd w:id="1"/>
      <w:bookmarkEnd w:id="2"/>
      <w:bookmarkEnd w:id="3"/>
      <w:bookmarkEnd w:id="4"/>
      <w:bookmarkEnd w:id="5"/>
      <w:r>
        <w:rPr>
          <w:rFonts w:hint="eastAsia" w:ascii="方正小标宋简体" w:eastAsia="方正小标宋简体"/>
          <w:b w:val="0"/>
          <w:color w:val="000000" w:themeColor="text1"/>
          <w:highlight w:val="none"/>
          <w:lang w:eastAsia="zh-CN"/>
          <w14:textFill>
            <w14:solidFill>
              <w14:schemeClr w14:val="tx1"/>
            </w14:solidFill>
          </w14:textFill>
        </w:rPr>
        <w:t>工程</w:t>
      </w:r>
      <w:bookmarkEnd w:id="6"/>
      <w:bookmarkEnd w:id="248"/>
    </w:p>
    <w:p>
      <w:pPr>
        <w:keepNext w:val="0"/>
        <w:keepLines w:val="0"/>
        <w:pageBreakBefore w:val="0"/>
        <w:kinsoku/>
        <w:wordWrap/>
        <w:overflowPunct w:val="0"/>
        <w:topLinePunct w:val="0"/>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p>
    <w:p>
      <w:pPr>
        <w:keepNext w:val="0"/>
        <w:keepLines w:val="0"/>
        <w:pageBreakBefore w:val="0"/>
        <w:kinsoku/>
        <w:wordWrap/>
        <w:overflowPunct w:val="0"/>
        <w:topLinePunct w:val="0"/>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“十四五”期间，以“健康大兴”为核心，开展</w:t>
      </w:r>
      <w:r>
        <w:rPr>
          <w:rFonts w:hint="eastAsia" w:ascii="仿宋_GB2312" w:hAnsi="宋体" w:eastAsia="仿宋_GB2312"/>
          <w:b/>
          <w:bCs/>
          <w:color w:val="000000" w:themeColor="text1"/>
          <w:sz w:val="32"/>
          <w:szCs w:val="32"/>
          <w:highlight w:val="none"/>
          <w14:textFill>
            <w14:solidFill>
              <w14:schemeClr w14:val="tx1"/>
            </w14:solidFill>
          </w14:textFill>
        </w:rPr>
        <w:t>“重点任务”和“重大</w:t>
      </w:r>
      <w:r>
        <w:rPr>
          <w:rFonts w:hint="eastAsia" w:ascii="仿宋_GB2312" w:hAnsi="宋体" w:eastAsia="仿宋_GB2312"/>
          <w:b/>
          <w:bCs/>
          <w:color w:val="000000" w:themeColor="text1"/>
          <w:sz w:val="32"/>
          <w:szCs w:val="32"/>
          <w:highlight w:val="none"/>
          <w:lang w:eastAsia="zh-CN"/>
          <w14:textFill>
            <w14:solidFill>
              <w14:schemeClr w14:val="tx1"/>
            </w14:solidFill>
          </w14:textFill>
        </w:rPr>
        <w:t>工程</w:t>
      </w:r>
      <w:r>
        <w:rPr>
          <w:rFonts w:hint="eastAsia" w:ascii="仿宋_GB2312" w:hAnsi="宋体" w:eastAsia="仿宋_GB2312"/>
          <w:b/>
          <w:bCs/>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建设。</w:t>
      </w:r>
    </w:p>
    <w:p>
      <w:pPr>
        <w:pStyle w:val="4"/>
        <w:keepNext w:val="0"/>
        <w:keepLines w:val="0"/>
        <w:pageBreakBefore w:val="0"/>
        <w:kinsoku/>
        <w:wordWrap/>
        <w:topLinePunct w:val="0"/>
        <w:bidi w:val="0"/>
        <w:spacing w:before="0" w:after="0" w:line="560" w:lineRule="exact"/>
        <w:ind w:firstLine="640" w:firstLineChars="200"/>
        <w:rPr>
          <w:b w:val="0"/>
          <w:color w:val="000000" w:themeColor="text1"/>
          <w:highlight w:val="none"/>
          <w14:textFill>
            <w14:solidFill>
              <w14:schemeClr w14:val="tx1"/>
            </w14:solidFill>
          </w14:textFill>
        </w:rPr>
      </w:pPr>
      <w:bookmarkStart w:id="7" w:name="_Toc17354"/>
      <w:bookmarkStart w:id="8" w:name="_Toc8248"/>
      <w:bookmarkStart w:id="9" w:name="_Toc5649"/>
      <w:bookmarkStart w:id="10" w:name="_Toc1781"/>
      <w:bookmarkStart w:id="11" w:name="_Toc31864"/>
      <w:bookmarkStart w:id="12" w:name="_Toc31365"/>
      <w:bookmarkStart w:id="13" w:name="_Toc90318421"/>
      <w:r>
        <w:rPr>
          <w:rFonts w:hint="eastAsia"/>
          <w:b w:val="0"/>
          <w:color w:val="000000" w:themeColor="text1"/>
          <w:highlight w:val="none"/>
          <w14:textFill>
            <w14:solidFill>
              <w14:schemeClr w14:val="tx1"/>
            </w14:solidFill>
          </w14:textFill>
        </w:rPr>
        <w:t>一、</w:t>
      </w:r>
      <w:bookmarkEnd w:id="7"/>
      <w:bookmarkEnd w:id="8"/>
      <w:bookmarkEnd w:id="9"/>
      <w:bookmarkEnd w:id="10"/>
      <w:r>
        <w:rPr>
          <w:rFonts w:hint="eastAsia"/>
          <w:b w:val="0"/>
          <w:color w:val="000000" w:themeColor="text1"/>
          <w:highlight w:val="none"/>
          <w14:textFill>
            <w14:solidFill>
              <w14:schemeClr w14:val="tx1"/>
            </w14:solidFill>
          </w14:textFill>
        </w:rPr>
        <w:t>构建现代化公共卫生体系</w:t>
      </w:r>
      <w:bookmarkEnd w:id="11"/>
      <w:bookmarkEnd w:id="12"/>
      <w:bookmarkEnd w:id="13"/>
    </w:p>
    <w:p>
      <w:pPr>
        <w:pStyle w:val="5"/>
        <w:keepNext w:val="0"/>
        <w:keepLines w:val="0"/>
        <w:pageBreakBefore w:val="0"/>
        <w:kinsoku/>
        <w:wordWrap/>
        <w:topLinePunct w:val="0"/>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4" w:name="_Toc2458"/>
      <w:bookmarkStart w:id="15" w:name="_Toc9771"/>
      <w:bookmarkStart w:id="16" w:name="_Toc22175"/>
      <w:bookmarkStart w:id="17" w:name="_Toc3487"/>
      <w:bookmarkStart w:id="18" w:name="_Toc90318422"/>
      <w:bookmarkStart w:id="19" w:name="_Toc26112"/>
      <w:bookmarkStart w:id="20" w:name="_Toc17700"/>
      <w:r>
        <w:rPr>
          <w:rFonts w:hint="eastAsia" w:ascii="楷体_GB2312" w:eastAsia="楷体_GB2312"/>
          <w:b w:val="0"/>
          <w:bCs w:val="0"/>
          <w:color w:val="000000" w:themeColor="text1"/>
          <w:highlight w:val="none"/>
          <w14:textFill>
            <w14:solidFill>
              <w14:schemeClr w14:val="tx1"/>
            </w14:solidFill>
          </w14:textFill>
        </w:rPr>
        <w:t>（一）</w:t>
      </w:r>
      <w:bookmarkEnd w:id="14"/>
      <w:bookmarkEnd w:id="15"/>
      <w:bookmarkEnd w:id="16"/>
      <w:bookmarkEnd w:id="17"/>
      <w:r>
        <w:rPr>
          <w:rFonts w:hint="eastAsia" w:ascii="楷体_GB2312" w:eastAsia="楷体_GB2312"/>
          <w:b w:val="0"/>
          <w:bCs w:val="0"/>
          <w:color w:val="000000" w:themeColor="text1"/>
          <w:highlight w:val="none"/>
          <w:lang w:val="en-US" w:eastAsia="zh-CN"/>
          <w14:textFill>
            <w14:solidFill>
              <w14:schemeClr w14:val="tx1"/>
            </w14:solidFill>
          </w14:textFill>
        </w:rPr>
        <w:t>完善传染性疾病预防控制体系</w:t>
      </w:r>
      <w:bookmarkEnd w:id="18"/>
      <w:bookmarkEnd w:id="19"/>
      <w:bookmarkEnd w:id="20"/>
    </w:p>
    <w:p>
      <w:pPr>
        <w:keepNext w:val="0"/>
        <w:keepLines w:val="0"/>
        <w:pageBreakBefore w:val="0"/>
        <w:kinsoku/>
        <w:wordWrap/>
        <w:topLinePunct w:val="0"/>
        <w:autoSpaceDE w:val="0"/>
        <w:autoSpaceDN w:val="0"/>
        <w:bidi w:val="0"/>
        <w:adjustRightInd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进一步加强公共卫生服务体系建设，健全区、街道(镇)、社区(村)三级公共卫生治理体系，显著增强各级公共卫生服务能力。加大重大传染病、地方病、新发传染病防控，形成疾病预防合力，提高医疗救治能力。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深入推进艾滋病防治工作。</w:t>
      </w:r>
      <w:r>
        <w:rPr>
          <w:rFonts w:hint="eastAsia" w:ascii="仿宋_GB2312" w:hAnsi="Times New Roman" w:eastAsia="仿宋_GB2312" w:cs="仿宋_GB2312"/>
          <w:bCs/>
          <w:color w:val="000000" w:themeColor="text1"/>
          <w:kern w:val="0"/>
          <w:sz w:val="32"/>
          <w:szCs w:val="32"/>
          <w:highlight w:val="none"/>
          <w14:textFill>
            <w14:solidFill>
              <w14:schemeClr w14:val="tx1"/>
            </w14:solidFill>
          </w14:textFill>
        </w:rPr>
        <w:t>持续做好常态化疫情防控，</w:t>
      </w:r>
      <w:r>
        <w:rPr>
          <w:rFonts w:hint="eastAsia" w:ascii="仿宋_GB2312" w:hAnsi="Times New Roman" w:eastAsia="仿宋_GB2312" w:cs="仿宋_GB2312"/>
          <w:color w:val="000000" w:themeColor="text1"/>
          <w:kern w:val="0"/>
          <w:sz w:val="32"/>
          <w:szCs w:val="32"/>
          <w:highlight w:val="none"/>
          <w14:textFill>
            <w14:solidFill>
              <w14:schemeClr w14:val="tx1"/>
            </w14:solidFill>
          </w14:textFill>
        </w:rPr>
        <w:t>坚持“外防输入、内防反弹”不放松，总结固化疫情防控经验，完善常态化防控机制。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强化冷链食品监管防疫，严格落实公共环境消杀机制，持续抓好社区、公共场所、学校医院、人员密集和空间密闭场所等重点区域防控。</w:t>
      </w:r>
    </w:p>
    <w:p>
      <w:pPr>
        <w:keepNext w:val="0"/>
        <w:keepLines w:val="0"/>
        <w:pageBreakBefore w:val="0"/>
        <w:kinsoku/>
        <w:wordWrap/>
        <w:topLinePunct w:val="0"/>
        <w:bidi w:val="0"/>
        <w:spacing w:line="560" w:lineRule="exact"/>
        <w:ind w:firstLine="640" w:firstLineChars="200"/>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b w:val="0"/>
          <w:bCs/>
          <w:color w:val="000000" w:themeColor="text1"/>
          <w:sz w:val="32"/>
          <w:szCs w:val="32"/>
          <w:highlight w:val="none"/>
          <w14:textFill>
            <w14:solidFill>
              <w14:schemeClr w14:val="tx1"/>
            </w14:solidFill>
          </w14:textFill>
        </w:rPr>
        <w:t>构建多层级突发公共卫生事件监测体系。</w:t>
      </w:r>
      <w:r>
        <w:rPr>
          <w:rFonts w:hint="eastAsia" w:ascii="仿宋_GB2312" w:hAnsi="宋体" w:eastAsia="仿宋_GB2312"/>
          <w:color w:val="000000" w:themeColor="text1"/>
          <w:sz w:val="32"/>
          <w:szCs w:val="32"/>
          <w:highlight w:val="none"/>
          <w14:textFill>
            <w14:solidFill>
              <w14:schemeClr w14:val="tx1"/>
            </w14:solidFill>
          </w14:textFill>
        </w:rPr>
        <w:t>配合市级完善口岸、机场、</w:t>
      </w:r>
      <w:r>
        <w:rPr>
          <w:rFonts w:hint="eastAsia" w:ascii="仿宋_GB2312" w:hAnsi="宋体" w:eastAsia="仿宋_GB2312" w:cs="Times New Roman"/>
          <w:color w:val="000000" w:themeColor="text1"/>
          <w:sz w:val="32"/>
          <w:szCs w:val="32"/>
          <w:highlight w:val="none"/>
          <w14:textFill>
            <w14:solidFill>
              <w14:schemeClr w14:val="tx1"/>
            </w14:solidFill>
          </w14:textFill>
        </w:rPr>
        <w:t>火车站、长途客车站、学校等场所监测哨点。构建覆盖全区的传染病动态监测系统，包括区级传染病定点收治医院、二级</w:t>
      </w:r>
      <w:r>
        <w:rPr>
          <w:rFonts w:hint="eastAsia" w:ascii="仿宋_GB2312" w:hAnsi="宋体" w:eastAsia="仿宋_GB2312"/>
          <w:color w:val="000000" w:themeColor="text1"/>
          <w:sz w:val="32"/>
          <w:szCs w:val="32"/>
          <w:highlight w:val="none"/>
          <w14:textFill>
            <w14:solidFill>
              <w14:schemeClr w14:val="tx1"/>
            </w14:solidFill>
          </w14:textFill>
        </w:rPr>
        <w:t>以上医疗机构发热、呼吸、肠道门诊以及社区卫生服务中心发热筛查哨点等，强化小诊所、药店的哨点作用，整合各类医药服务信息，实现病例和症状监测信息实时汇集，开展系统化分析并具备预警功能。强化区疾病预防控制中心专业技术指导服务职能，提高工作权威性。加强社区卫生服务机构规划与标准化建设，充实专业公共卫生人员力量。统筹好区疾病预防控制中心、医院、第三方检测机构力量，最大限度提升检验检测能力。</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topLinePunct w:val="0"/>
              <w:bidi w:val="0"/>
              <w:spacing w:line="560" w:lineRule="exact"/>
              <w:ind w:firstLine="0" w:firstLineChars="0"/>
              <w:jc w:val="center"/>
              <w:outlineLvl w:val="9"/>
              <w:rPr>
                <w:rFonts w:hint="eastAsia" w:ascii="仿宋_GB2312" w:hAnsi="宋体" w:eastAsia="仿宋_GB2312"/>
                <w:b w:val="0"/>
                <w:bCs/>
                <w:color w:val="000000" w:themeColor="text1"/>
                <w:sz w:val="32"/>
                <w:szCs w:val="32"/>
                <w:highlight w:val="none"/>
                <w14:textFill>
                  <w14:solidFill>
                    <w14:schemeClr w14:val="tx1"/>
                  </w14:solidFill>
                </w14:textFill>
              </w:rPr>
            </w:pPr>
            <w:r>
              <w:rPr>
                <w:rFonts w:hint="eastAsia" w:ascii="仿宋_GB2312" w:hAnsi="宋体" w:eastAsia="仿宋_GB2312"/>
                <w:b/>
                <w:bCs w:val="0"/>
                <w:color w:val="000000" w:themeColor="text1"/>
                <w:sz w:val="32"/>
                <w:szCs w:val="32"/>
                <w:highlight w:val="none"/>
                <w:lang w:eastAsia="zh-CN"/>
                <w14:textFill>
                  <w14:solidFill>
                    <w14:schemeClr w14:val="tx1"/>
                  </w14:solidFill>
                </w14:textFill>
              </w:rPr>
              <w:t>专栏</w:t>
            </w:r>
            <w:r>
              <w:rPr>
                <w:rFonts w:hint="eastAsia" w:ascii="仿宋_GB2312" w:hAnsi="宋体" w:eastAsia="仿宋_GB2312"/>
                <w:b/>
                <w:bCs w:val="0"/>
                <w:color w:val="000000" w:themeColor="text1"/>
                <w:sz w:val="32"/>
                <w:szCs w:val="32"/>
                <w:highlight w:val="none"/>
                <w14:textFill>
                  <w14:solidFill>
                    <w14:schemeClr w14:val="tx1"/>
                  </w14:solidFill>
                </w14:textFill>
              </w:rPr>
              <w:t>1  大兴区疾病预防控制中心标准化建设工程</w:t>
            </w:r>
          </w:p>
          <w:p>
            <w:pPr>
              <w:keepNext w:val="0"/>
              <w:keepLines w:val="0"/>
              <w:pageBreakBefore w:val="0"/>
              <w:kinsoku/>
              <w:wordWrap/>
              <w:overflowPunct/>
              <w:topLinePunct w:val="0"/>
              <w:bidi w:val="0"/>
              <w:spacing w:line="560" w:lineRule="exact"/>
              <w:ind w:firstLine="640"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theme="minorBidi"/>
                <w:bCs/>
                <w:snapToGrid/>
                <w:color w:val="000000" w:themeColor="text1"/>
                <w:kern w:val="2"/>
                <w:sz w:val="32"/>
                <w:szCs w:val="32"/>
                <w:highlight w:val="none"/>
                <w:u w:color="auto"/>
                <w:lang w:val="zh-TW"/>
                <w14:textFill>
                  <w14:solidFill>
                    <w14:schemeClr w14:val="tx1"/>
                  </w14:solidFill>
                </w14:textFill>
              </w:rPr>
              <w:t>贯彻执行北京市关于</w:t>
            </w:r>
            <w:r>
              <w:rPr>
                <w:rFonts w:hint="eastAsia" w:ascii="仿宋_GB2312" w:hAnsi="宋体" w:eastAsia="仿宋_GB2312" w:cstheme="minorBidi"/>
                <w:bCs/>
                <w:snapToGrid/>
                <w:color w:val="000000" w:themeColor="text1"/>
                <w:kern w:val="2"/>
                <w:sz w:val="32"/>
                <w:szCs w:val="32"/>
                <w:highlight w:val="none"/>
                <w:u w:color="auto"/>
                <w:lang w:val="zh-TW" w:eastAsia="zh-TW"/>
                <w14:textFill>
                  <w14:solidFill>
                    <w14:schemeClr w14:val="tx1"/>
                  </w14:solidFill>
                </w14:textFill>
              </w:rPr>
              <w:t>疾病预防控制</w:t>
            </w:r>
            <w:r>
              <w:rPr>
                <w:rFonts w:hint="eastAsia" w:ascii="仿宋_GB2312" w:hAnsi="宋体" w:eastAsia="仿宋_GB2312" w:cstheme="minorBidi"/>
                <w:bCs/>
                <w:snapToGrid/>
                <w:color w:val="000000" w:themeColor="text1"/>
                <w:kern w:val="2"/>
                <w:sz w:val="32"/>
                <w:szCs w:val="32"/>
                <w:highlight w:val="none"/>
                <w:u w:color="auto"/>
                <w:lang w:val="zh-TW"/>
                <w14:textFill>
                  <w14:solidFill>
                    <w14:schemeClr w14:val="tx1"/>
                  </w14:solidFill>
                </w14:textFill>
              </w:rPr>
              <w:t>中心的</w:t>
            </w:r>
            <w:r>
              <w:rPr>
                <w:rFonts w:hint="eastAsia" w:ascii="仿宋_GB2312" w:hAnsi="宋体" w:eastAsia="仿宋_GB2312" w:cstheme="minorBidi"/>
                <w:bCs/>
                <w:snapToGrid/>
                <w:color w:val="000000" w:themeColor="text1"/>
                <w:kern w:val="2"/>
                <w:sz w:val="32"/>
                <w:szCs w:val="32"/>
                <w:highlight w:val="none"/>
                <w:u w:color="auto"/>
                <w:lang w:val="zh-TW" w:eastAsia="zh-TW"/>
                <w14:textFill>
                  <w14:solidFill>
                    <w14:schemeClr w14:val="tx1"/>
                  </w14:solidFill>
                </w14:textFill>
              </w:rPr>
              <w:t>建设标准，</w:t>
            </w:r>
            <w:r>
              <w:rPr>
                <w:rFonts w:hint="eastAsia" w:ascii="仿宋_GB2312" w:hAnsi="宋体" w:eastAsia="仿宋_GB2312" w:cstheme="minorBidi"/>
                <w:bCs/>
                <w:snapToGrid/>
                <w:color w:val="000000" w:themeColor="text1"/>
                <w:kern w:val="2"/>
                <w:sz w:val="32"/>
                <w:szCs w:val="32"/>
                <w:highlight w:val="none"/>
                <w:lang w:val="zh-TW"/>
                <w14:textFill>
                  <w14:solidFill>
                    <w14:schemeClr w14:val="tx1"/>
                  </w14:solidFill>
                </w14:textFill>
              </w:rPr>
              <w:t>根据需要适当增加业务用房规模，提高设备配置标准，增加人员编制。建立与区域发展相适应的区疾病预防控制中心人员编制动态核定机制，采取统筹规划、逐年补充方式，强化公共卫生专业技术人员配备，2020年补充编制30人，之后两年，每年补充编制</w:t>
            </w:r>
            <w:r>
              <w:rPr>
                <w:rFonts w:hint="eastAsia" w:ascii="仿宋_GB2312" w:hAnsi="宋体" w:eastAsia="仿宋_GB2312" w:cstheme="minorBidi"/>
                <w:bCs/>
                <w:snapToGrid/>
                <w:color w:val="000000" w:themeColor="text1"/>
                <w:kern w:val="2"/>
                <w:sz w:val="32"/>
                <w:szCs w:val="32"/>
                <w:highlight w:val="none"/>
                <w14:textFill>
                  <w14:solidFill>
                    <w14:schemeClr w14:val="tx1"/>
                  </w14:solidFill>
                </w14:textFill>
              </w:rPr>
              <w:t>20</w:t>
            </w:r>
            <w:r>
              <w:rPr>
                <w:rFonts w:hint="eastAsia" w:ascii="仿宋_GB2312" w:hAnsi="宋体" w:eastAsia="仿宋_GB2312" w:cstheme="minorBidi"/>
                <w:bCs/>
                <w:snapToGrid/>
                <w:color w:val="000000" w:themeColor="text1"/>
                <w:kern w:val="2"/>
                <w:sz w:val="32"/>
                <w:szCs w:val="32"/>
                <w:highlight w:val="none"/>
                <w:lang w:val="zh-TW"/>
                <w14:textFill>
                  <w14:solidFill>
                    <w14:schemeClr w14:val="tx1"/>
                  </w14:solidFill>
                </w14:textFill>
              </w:rPr>
              <w:t>人，不断提升人员检验检测、流行病学调查、应急处置能力。加强区疾病预防控制中心实验室仪器设备升级和生物安全防护能力建设，加强新发、突发传染病病原检测技术储备，提升传染病病原综合检测能力。建立全流程安全核查、监管和责任追溯制度，安全规范开展传染病病原学检测和变异监测。探索推进区疾病预防控制中心公共卫生监测检验信息化建设工作。</w:t>
            </w:r>
          </w:p>
        </w:tc>
      </w:tr>
    </w:tbl>
    <w:p>
      <w:pPr>
        <w:pStyle w:val="2"/>
        <w:keepNext w:val="0"/>
        <w:keepLines w:val="0"/>
        <w:pageBreakBefore w:val="0"/>
        <w:kinsoku/>
        <w:wordWrap/>
        <w:topLinePunct w:val="0"/>
        <w:bidi w:val="0"/>
        <w:spacing w:line="560" w:lineRule="exact"/>
        <w:rPr>
          <w:color w:val="000000" w:themeColor="text1"/>
          <w:sz w:val="32"/>
          <w:szCs w:val="32"/>
          <w:highlight w:val="none"/>
          <w14:textFill>
            <w14:solidFill>
              <w14:schemeClr w14:val="tx1"/>
            </w14:solidFill>
          </w14:textFill>
        </w:rPr>
      </w:pP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topLinePunct w:val="0"/>
              <w:bidi w:val="0"/>
              <w:spacing w:line="560" w:lineRule="exact"/>
              <w:ind w:firstLine="0" w:firstLineChars="0"/>
              <w:jc w:val="center"/>
              <w:outlineLvl w:val="9"/>
              <w:rPr>
                <w:rFonts w:hint="eastAsia" w:ascii="仿宋_GB2312" w:hAnsi="宋体" w:eastAsia="仿宋_GB2312"/>
                <w:b w:val="0"/>
                <w:bCs/>
                <w:color w:val="000000" w:themeColor="text1"/>
                <w:sz w:val="32"/>
                <w:szCs w:val="32"/>
                <w:highlight w:val="none"/>
                <w14:textFill>
                  <w14:solidFill>
                    <w14:schemeClr w14:val="tx1"/>
                  </w14:solidFill>
                </w14:textFill>
              </w:rPr>
            </w:pPr>
            <w:r>
              <w:rPr>
                <w:rFonts w:hint="eastAsia" w:ascii="仿宋_GB2312" w:hAnsi="宋体" w:eastAsia="仿宋_GB2312"/>
                <w:b/>
                <w:bCs w:val="0"/>
                <w:color w:val="000000" w:themeColor="text1"/>
                <w:sz w:val="32"/>
                <w:szCs w:val="32"/>
                <w:highlight w:val="none"/>
                <w:lang w:eastAsia="zh-CN"/>
                <w14:textFill>
                  <w14:solidFill>
                    <w14:schemeClr w14:val="tx1"/>
                  </w14:solidFill>
                </w14:textFill>
              </w:rPr>
              <w:t>专栏</w:t>
            </w:r>
            <w:r>
              <w:rPr>
                <w:rFonts w:hint="eastAsia" w:ascii="仿宋_GB2312" w:hAnsi="宋体" w:eastAsia="仿宋_GB2312"/>
                <w:b/>
                <w:bCs w:val="0"/>
                <w:color w:val="000000" w:themeColor="text1"/>
                <w:sz w:val="32"/>
                <w:szCs w:val="32"/>
                <w:highlight w:val="none"/>
                <w14:textFill>
                  <w14:solidFill>
                    <w14:schemeClr w14:val="tx1"/>
                  </w14:solidFill>
                </w14:textFill>
              </w:rPr>
              <w:t>2  医疗机构发热、呼吸、肠道门诊等标准化建设工程</w:t>
            </w:r>
          </w:p>
          <w:p>
            <w:pPr>
              <w:keepNext w:val="0"/>
              <w:keepLines w:val="0"/>
              <w:pageBreakBefore w:val="0"/>
              <w:kinsoku/>
              <w:wordWrap/>
              <w:overflowPunct/>
              <w:topLinePunct w:val="0"/>
              <w:bidi w:val="0"/>
              <w:spacing w:line="560" w:lineRule="exact"/>
              <w:ind w:firstLine="640" w:firstLineChars="200"/>
              <w:jc w:val="both"/>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bCs/>
                <w:color w:val="000000" w:themeColor="text1"/>
                <w:sz w:val="32"/>
                <w:szCs w:val="32"/>
                <w:highlight w:val="none"/>
                <w14:textFill>
                  <w14:solidFill>
                    <w14:schemeClr w14:val="tx1"/>
                  </w14:solidFill>
                </w14:textFill>
              </w:rPr>
              <w:t>按照发热门诊设置管理规范，对二、三级医院发热门诊进行改扩建或新建，建设集接诊、化验、影像、观察等功能于一体的发热门诊，配备符合规范标准的检验、影像、急救、核酸检测设备。落实《大兴区公共卫生应急管理体系建设三年行动计划（2020-2022年）》，压实医院主体责任，引导医疗机构规范化建设发热、呼吸、肠道门诊，确保设置符合医院感染管理相关要求，提升传染病诊疗能力。</w:t>
            </w:r>
            <w:r>
              <w:rPr>
                <w:rFonts w:hint="eastAsia" w:ascii="仿宋_GB2312" w:hAnsi="宋体" w:eastAsia="仿宋_GB2312" w:cstheme="minorBidi"/>
                <w:bCs/>
                <w:snapToGrid/>
                <w:color w:val="000000" w:themeColor="text1"/>
                <w:kern w:val="2"/>
                <w:sz w:val="32"/>
                <w:szCs w:val="32"/>
                <w:highlight w:val="none"/>
                <w:lang w:val="zh-TW"/>
                <w14:textFill>
                  <w14:solidFill>
                    <w14:schemeClr w14:val="tx1"/>
                  </w14:solidFill>
                </w14:textFill>
              </w:rPr>
              <w:t>在有条件的镇卫生院和社区卫生服务中心设置发热筛查哨点门诊，规范发热筛查哨点、人员培训和运行管理，将发热筛查哨点充分融入诊疗流程，切实发挥哨点“探头”作用，有效提升基层医疗卫生机构传染病预警报告能力。</w:t>
            </w:r>
          </w:p>
        </w:tc>
      </w:tr>
    </w:tbl>
    <w:p>
      <w:pPr>
        <w:pStyle w:val="5"/>
        <w:keepNext w:val="0"/>
        <w:keepLines w:val="0"/>
        <w:pageBreakBefore w:val="0"/>
        <w:kinsoku/>
        <w:wordWrap/>
        <w:topLinePunct w:val="0"/>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21" w:name="_Toc21325"/>
      <w:bookmarkStart w:id="22" w:name="_Toc18736"/>
      <w:bookmarkStart w:id="23" w:name="_Toc90318423"/>
      <w:bookmarkStart w:id="24" w:name="_Toc2993"/>
      <w:bookmarkStart w:id="25" w:name="_Toc17396"/>
      <w:bookmarkStart w:id="26" w:name="_Toc14572"/>
      <w:bookmarkStart w:id="27" w:name="_Toc21652"/>
      <w:r>
        <w:rPr>
          <w:rFonts w:hint="eastAsia" w:ascii="楷体_GB2312" w:eastAsia="楷体_GB2312"/>
          <w:b w:val="0"/>
          <w:bCs w:val="0"/>
          <w:color w:val="000000" w:themeColor="text1"/>
          <w:highlight w:val="none"/>
          <w14:textFill>
            <w14:solidFill>
              <w14:schemeClr w14:val="tx1"/>
            </w14:solidFill>
          </w14:textFill>
        </w:rPr>
        <w:t>（二）加强公共卫生应急管理体系</w:t>
      </w:r>
      <w:bookmarkEnd w:id="21"/>
      <w:bookmarkEnd w:id="22"/>
      <w:bookmarkEnd w:id="23"/>
      <w:bookmarkEnd w:id="24"/>
      <w:bookmarkEnd w:id="25"/>
      <w:bookmarkEnd w:id="26"/>
      <w:bookmarkEnd w:id="27"/>
    </w:p>
    <w:p>
      <w:pPr>
        <w:keepNext w:val="0"/>
        <w:keepLines w:val="0"/>
        <w:pageBreakBefore w:val="0"/>
        <w:kinsoku/>
        <w:wordWrap/>
        <w:topLinePunct w:val="0"/>
        <w:bidi w:val="0"/>
        <w:spacing w:line="560" w:lineRule="exact"/>
        <w:ind w:firstLine="640" w:firstLineChars="20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坚持统一领导、分级负责、平战结合原则，完善公共卫生应急体系的建立与响应机制。提高重大疫情发生时各个体系之间联动（防疫、应急、救助等）、京津冀之间的联防联控能力，开展联合应急演练。强化全区公共卫生应急人员配备和能力提升，按照培养一批、成熟一批、编入一批原则，培养储备区级卫生应急队伍。</w:t>
      </w:r>
      <w:r>
        <w:rPr>
          <w:rFonts w:ascii="仿宋_GB2312" w:hAnsi="宋体" w:eastAsia="仿宋_GB2312"/>
          <w:color w:val="000000" w:themeColor="text1"/>
          <w:sz w:val="32"/>
          <w:szCs w:val="32"/>
          <w:highlight w:val="none"/>
          <w14:textFill>
            <w14:solidFill>
              <w14:schemeClr w14:val="tx1"/>
            </w14:solidFill>
          </w14:textFill>
        </w:rPr>
        <w:t>建设现代化、专业化综合类紧急医学救援队伍</w:t>
      </w:r>
      <w:r>
        <w:rPr>
          <w:rFonts w:hint="eastAsia" w:ascii="仿宋_GB2312" w:hAnsi="宋体" w:eastAsia="仿宋_GB2312"/>
          <w:color w:val="000000" w:themeColor="text1"/>
          <w:sz w:val="32"/>
          <w:szCs w:val="32"/>
          <w:highlight w:val="none"/>
          <w14:textFill>
            <w14:solidFill>
              <w14:schemeClr w14:val="tx1"/>
            </w14:solidFill>
          </w14:textFill>
        </w:rPr>
        <w:t>，加强培训演练，提升应对突发公共卫生事件能力。健全“区120分中心—急救工作站”两级院前急救体系，完善运行保障机制，统筹区域院前医疗急救资源配置，提高院前医疗急救能力。完善公共卫生应急物资储备机制，各类物资储备能满足重大突发公共卫生事件发生后1至3个月的需求，有效应对重大传染病等突发公共卫生事件。</w:t>
      </w:r>
      <w:r>
        <w:rPr>
          <w:rFonts w:hint="eastAsia" w:ascii="仿宋_GB2312" w:hAnsi="宋体" w:eastAsia="仿宋_GB2312"/>
          <w:color w:val="000000" w:themeColor="text1"/>
          <w:sz w:val="32"/>
          <w:szCs w:val="32"/>
          <w:highlight w:val="none"/>
          <w:lang w:eastAsia="zh-CN"/>
          <w14:textFill>
            <w14:solidFill>
              <w14:schemeClr w14:val="tx1"/>
            </w14:solidFill>
          </w14:textFill>
        </w:rPr>
        <w:t>加强中心血库能力建设，提升血液保障能力。</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topLinePunct w:val="0"/>
              <w:bidi w:val="0"/>
              <w:spacing w:line="560" w:lineRule="exact"/>
              <w:ind w:firstLine="0" w:firstLineChars="0"/>
              <w:jc w:val="center"/>
              <w:outlineLvl w:val="9"/>
              <w:rPr>
                <w:rFonts w:hint="eastAsia" w:ascii="仿宋_GB2312" w:hAnsi="宋体" w:eastAsia="仿宋_GB2312"/>
                <w:b w:val="0"/>
                <w:bCs w:val="0"/>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lang w:eastAsia="zh-CN"/>
                <w14:textFill>
                  <w14:solidFill>
                    <w14:schemeClr w14:val="tx1"/>
                  </w14:solidFill>
                </w14:textFill>
              </w:rPr>
              <w:t>专栏</w:t>
            </w:r>
            <w:r>
              <w:rPr>
                <w:rFonts w:hint="eastAsia" w:ascii="仿宋_GB2312" w:hAnsi="宋体" w:eastAsia="仿宋_GB2312"/>
                <w:b/>
                <w:bCs/>
                <w:color w:val="000000" w:themeColor="text1"/>
                <w:sz w:val="32"/>
                <w:szCs w:val="32"/>
                <w:highlight w:val="none"/>
                <w14:textFill>
                  <w14:solidFill>
                    <w14:schemeClr w14:val="tx1"/>
                  </w14:solidFill>
                </w14:textFill>
              </w:rPr>
              <w:t>3  重大疫情防控救治体系建设工程</w:t>
            </w:r>
          </w:p>
          <w:p>
            <w:pPr>
              <w:keepNext w:val="0"/>
              <w:keepLines w:val="0"/>
              <w:pageBreakBefore w:val="0"/>
              <w:kinsoku/>
              <w:wordWrap/>
              <w:topLinePunct w:val="0"/>
              <w:bidi w:val="0"/>
              <w:spacing w:line="560" w:lineRule="exact"/>
              <w:ind w:firstLine="643" w:firstLineChars="200"/>
              <w:rPr>
                <w:rFonts w:hint="eastAsia" w:ascii="仿宋_GB2312" w:hAnsi="宋体" w:eastAsia="仿宋_GB2312" w:cstheme="minorBidi"/>
                <w:color w:val="000000" w:themeColor="text1"/>
                <w:sz w:val="32"/>
                <w:szCs w:val="32"/>
                <w:highlight w:val="none"/>
                <w14:textFill>
                  <w14:solidFill>
                    <w14:schemeClr w14:val="tx1"/>
                  </w14:solidFill>
                </w14:textFill>
              </w:rPr>
            </w:pPr>
            <w:r>
              <w:rPr>
                <w:rFonts w:hint="eastAsia" w:ascii="仿宋_GB2312" w:hAnsi="宋体" w:eastAsia="仿宋_GB2312" w:cstheme="minorBidi"/>
                <w:b/>
                <w:bCs/>
                <w:color w:val="000000" w:themeColor="text1"/>
                <w:sz w:val="32"/>
                <w:szCs w:val="32"/>
                <w:highlight w:val="none"/>
                <w14:textFill>
                  <w14:solidFill>
                    <w14:schemeClr w14:val="tx1"/>
                  </w14:solidFill>
                </w14:textFill>
              </w:rPr>
              <w:t>完善院前急救体系建设。</w:t>
            </w:r>
            <w:r>
              <w:rPr>
                <w:rFonts w:hint="eastAsia" w:ascii="仿宋_GB2312" w:hAnsi="宋体" w:eastAsia="仿宋_GB2312" w:cstheme="minorBidi"/>
                <w:color w:val="000000" w:themeColor="text1"/>
                <w:sz w:val="32"/>
                <w:szCs w:val="32"/>
                <w:highlight w:val="none"/>
                <w14:textFill>
                  <w14:solidFill>
                    <w14:schemeClr w14:val="tx1"/>
                  </w14:solidFill>
                </w14:textFill>
              </w:rPr>
              <w:t>进一步优化站点布局，新建急救工作站10个（含A级站1个），完成现有17个站点标准化建设，建设急救车辆洗消站1个。探索建立符合区域实际的院前医疗急救体系运行保障机制。进一步完善院前医疗急救专业人才队伍建设，深化院前急救质量内涵，全面提升院前医疗急救服务能力。到2022年，全区院前急救车辆达到每3万人配置1辆标准，具备危重新生儿转运条件，进一步缩短平均急救反应时间，呼叫满足率不低于95%，服务满意率不低于98%。</w:t>
            </w:r>
          </w:p>
          <w:p>
            <w:pPr>
              <w:keepNext w:val="0"/>
              <w:keepLines w:val="0"/>
              <w:pageBreakBefore w:val="0"/>
              <w:kinsoku/>
              <w:wordWrap/>
              <w:topLinePunct w:val="0"/>
              <w:bidi w:val="0"/>
              <w:spacing w:line="560" w:lineRule="exact"/>
              <w:ind w:firstLine="643" w:firstLineChars="200"/>
              <w:rPr>
                <w:rFonts w:hint="eastAsia" w:ascii="仿宋_GB2312" w:hAnsi="宋体" w:eastAsia="仿宋_GB2312" w:cstheme="minorBidi"/>
                <w:color w:val="000000" w:themeColor="text1"/>
                <w:sz w:val="32"/>
                <w:szCs w:val="32"/>
                <w:highlight w:val="none"/>
                <w14:textFill>
                  <w14:solidFill>
                    <w14:schemeClr w14:val="tx1"/>
                  </w14:solidFill>
                </w14:textFill>
              </w:rPr>
            </w:pPr>
            <w:r>
              <w:rPr>
                <w:rFonts w:hint="eastAsia" w:ascii="仿宋_GB2312" w:hAnsi="宋体" w:eastAsia="仿宋_GB2312" w:cstheme="minorBidi"/>
                <w:b/>
                <w:bCs/>
                <w:color w:val="000000" w:themeColor="text1"/>
                <w:sz w:val="32"/>
                <w:szCs w:val="32"/>
                <w:highlight w:val="none"/>
                <w14:textFill>
                  <w14:solidFill>
                    <w14:schemeClr w14:val="tx1"/>
                  </w14:solidFill>
                </w14:textFill>
              </w:rPr>
              <w:t>优化传染病救治医疗资源配置。</w:t>
            </w:r>
            <w:r>
              <w:rPr>
                <w:rFonts w:hint="eastAsia" w:ascii="仿宋_GB2312" w:hAnsi="宋体" w:eastAsia="仿宋_GB2312" w:cstheme="minorBidi"/>
                <w:color w:val="000000" w:themeColor="text1"/>
                <w:sz w:val="32"/>
                <w:szCs w:val="32"/>
                <w:highlight w:val="none"/>
                <w14:textFill>
                  <w14:solidFill>
                    <w14:schemeClr w14:val="tx1"/>
                  </w14:solidFill>
                </w14:textFill>
              </w:rPr>
              <w:t>明确区级综合医院承担传染病救治功能，区人民医院作为区级传染病定点收治医院，其他二、三级医疗机构作为补充。以区人民医院孙村病区为基础，承担辖区重点传染病集中救治职能。按照独立分区、功能完备、设施齐全、流程合理的要求在区人民医院、区中西医结合医院新址建设中，加强感染性疾病科的建设规划，切实实现“平战结合”。加强综合性医院负压病房建设。到2022年，区人民医院完成不少于十间负压病房建设，鼓励其他有条件的公立和社会办医疗机构建设负压病房作为储备。</w:t>
            </w:r>
          </w:p>
          <w:p>
            <w:pPr>
              <w:keepNext w:val="0"/>
              <w:keepLines w:val="0"/>
              <w:pageBreakBefore w:val="0"/>
              <w:kinsoku/>
              <w:wordWrap/>
              <w:overflowPunct/>
              <w:topLinePunct w:val="0"/>
              <w:bidi w:val="0"/>
              <w:spacing w:line="560" w:lineRule="exact"/>
              <w:ind w:firstLine="643"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落实医防融合培训机制。</w:t>
            </w:r>
            <w:r>
              <w:rPr>
                <w:rFonts w:ascii="仿宋_GB2312" w:hAnsi="宋体" w:eastAsia="仿宋_GB2312"/>
                <w:color w:val="000000" w:themeColor="text1"/>
                <w:sz w:val="32"/>
                <w:szCs w:val="32"/>
                <w:highlight w:val="none"/>
                <w14:textFill>
                  <w14:solidFill>
                    <w14:schemeClr w14:val="tx1"/>
                  </w14:solidFill>
                </w14:textFill>
              </w:rPr>
              <w:t>建设现代化、专业化综合类紧急医学救援队伍</w:t>
            </w:r>
            <w:r>
              <w:rPr>
                <w:rFonts w:hint="eastAsia" w:ascii="仿宋_GB2312" w:hAnsi="宋体" w:eastAsia="仿宋_GB2312"/>
                <w:color w:val="000000" w:themeColor="text1"/>
                <w:sz w:val="32"/>
                <w:szCs w:val="32"/>
                <w:highlight w:val="none"/>
                <w14:textFill>
                  <w14:solidFill>
                    <w14:schemeClr w14:val="tx1"/>
                  </w14:solidFill>
                </w14:textFill>
              </w:rPr>
              <w:t>，组建1支不少于30人的综合类紧急医学救援队伍，提高协同和联合作战能力,定期开展实战演练，提高突发公共卫生事件快速反应和应急处置能力。构建完善医防融合人才培养机制，按照市级整体部署，将在公共卫生机构进行流行病学实训纳入住院医师规范化培训要求。实行公共卫生机构和二、三级医疗机构内卫生专业技术人员在晋升副高职称前交叉培训计划，到2022年底，送出交叉培训不少于30人。</w:t>
            </w:r>
          </w:p>
        </w:tc>
      </w:tr>
    </w:tbl>
    <w:p>
      <w:pPr>
        <w:pStyle w:val="5"/>
        <w:keepNext w:val="0"/>
        <w:keepLines w:val="0"/>
        <w:pageBreakBefore w:val="0"/>
        <w:kinsoku/>
        <w:wordWrap/>
        <w:topLinePunct w:val="0"/>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28" w:name="_Toc4095"/>
      <w:bookmarkStart w:id="29" w:name="_Toc31244"/>
      <w:bookmarkStart w:id="30" w:name="_Toc14636"/>
      <w:bookmarkStart w:id="31" w:name="_Toc15883"/>
      <w:bookmarkStart w:id="32" w:name="_Toc90318424"/>
      <w:bookmarkStart w:id="33" w:name="_Toc5609"/>
      <w:bookmarkStart w:id="34" w:name="_Toc30281"/>
      <w:r>
        <w:rPr>
          <w:rFonts w:hint="eastAsia" w:ascii="楷体_GB2312" w:eastAsia="楷体_GB2312"/>
          <w:b w:val="0"/>
          <w:bCs w:val="0"/>
          <w:color w:val="000000" w:themeColor="text1"/>
          <w:highlight w:val="none"/>
          <w14:textFill>
            <w14:solidFill>
              <w14:schemeClr w14:val="tx1"/>
            </w14:solidFill>
          </w14:textFill>
        </w:rPr>
        <w:t>（三）强化慢性病预防与控制</w:t>
      </w:r>
      <w:bookmarkEnd w:id="28"/>
      <w:bookmarkEnd w:id="29"/>
      <w:bookmarkEnd w:id="30"/>
      <w:bookmarkEnd w:id="31"/>
      <w:r>
        <w:rPr>
          <w:rFonts w:hint="eastAsia" w:ascii="楷体_GB2312" w:eastAsia="楷体_GB2312"/>
          <w:b w:val="0"/>
          <w:bCs w:val="0"/>
          <w:color w:val="000000" w:themeColor="text1"/>
          <w:highlight w:val="none"/>
          <w14:textFill>
            <w14:solidFill>
              <w14:schemeClr w14:val="tx1"/>
            </w14:solidFill>
          </w14:textFill>
        </w:rPr>
        <w:t>体系</w:t>
      </w:r>
      <w:bookmarkEnd w:id="32"/>
      <w:bookmarkEnd w:id="33"/>
      <w:bookmarkEnd w:id="34"/>
    </w:p>
    <w:p>
      <w:pPr>
        <w:keepNext w:val="0"/>
        <w:keepLines w:val="0"/>
        <w:pageBreakBefore w:val="0"/>
        <w:widowControl/>
        <w:shd w:val="clear" w:color="auto" w:fill="FFFFFF"/>
        <w:kinsoku/>
        <w:wordWrap/>
        <w:topLinePunct w:val="0"/>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进一步完善政府主导、部门协作、社会动员、全民参与的慢性病综合防控工作机制。建立健全防治结合、分工协作、优势互补、上下联动的慢性病综合防治体系，加强慢性病防控队伍建设，推动慢性病防、治、管整体融合发展。加强慢性病防治全民健康教育，引导群众树立正确健康观，逐步实现慢性病全程管理。力争“十四五”期间通过国家慢性病综合防控示范区验收。</w:t>
      </w:r>
    </w:p>
    <w:p>
      <w:pPr>
        <w:pStyle w:val="5"/>
        <w:keepNext w:val="0"/>
        <w:keepLines w:val="0"/>
        <w:pageBreakBefore w:val="0"/>
        <w:kinsoku/>
        <w:wordWrap/>
        <w:topLinePunct w:val="0"/>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35" w:name="_Toc3694"/>
      <w:bookmarkStart w:id="36" w:name="_Toc28287"/>
      <w:bookmarkStart w:id="37" w:name="_Toc14610"/>
      <w:bookmarkStart w:id="38" w:name="_Toc7248"/>
      <w:bookmarkStart w:id="39" w:name="_Toc90318425"/>
      <w:bookmarkStart w:id="40" w:name="_Toc1871"/>
      <w:bookmarkStart w:id="41" w:name="_Toc22013"/>
      <w:r>
        <w:rPr>
          <w:rFonts w:hint="eastAsia" w:ascii="楷体_GB2312" w:eastAsia="楷体_GB2312"/>
          <w:b w:val="0"/>
          <w:bCs w:val="0"/>
          <w:color w:val="000000" w:themeColor="text1"/>
          <w:highlight w:val="none"/>
          <w14:textFill>
            <w14:solidFill>
              <w14:schemeClr w14:val="tx1"/>
            </w14:solidFill>
          </w14:textFill>
        </w:rPr>
        <w:t>（四）完善精神卫生健康服务</w:t>
      </w:r>
      <w:bookmarkEnd w:id="35"/>
      <w:bookmarkEnd w:id="36"/>
      <w:bookmarkEnd w:id="37"/>
      <w:bookmarkEnd w:id="38"/>
      <w:r>
        <w:rPr>
          <w:rFonts w:hint="eastAsia" w:ascii="楷体_GB2312" w:eastAsia="楷体_GB2312"/>
          <w:b w:val="0"/>
          <w:bCs w:val="0"/>
          <w:color w:val="000000" w:themeColor="text1"/>
          <w:highlight w:val="none"/>
          <w14:textFill>
            <w14:solidFill>
              <w14:schemeClr w14:val="tx1"/>
            </w14:solidFill>
          </w14:textFill>
        </w:rPr>
        <w:t>体系</w:t>
      </w:r>
      <w:bookmarkEnd w:id="39"/>
      <w:bookmarkEnd w:id="40"/>
      <w:bookmarkEnd w:id="41"/>
    </w:p>
    <w:p>
      <w:pPr>
        <w:pStyle w:val="2"/>
        <w:keepNext w:val="0"/>
        <w:keepLines w:val="0"/>
        <w:pageBreakBefore w:val="0"/>
        <w:kinsoku/>
        <w:wordWrap/>
        <w:topLinePunct w:val="0"/>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eastAsia="仿宋_GB2312" w:cs="仿宋"/>
          <w:bCs/>
          <w:color w:val="000000" w:themeColor="text1"/>
          <w:sz w:val="32"/>
          <w:szCs w:val="32"/>
          <w:highlight w:val="none"/>
          <w14:textFill>
            <w14:solidFill>
              <w14:schemeClr w14:val="tx1"/>
            </w14:solidFill>
          </w14:textFill>
        </w:rPr>
        <w:t>加强精神卫生医疗服务体系建设，分类强化精神专科医疗机构、综合医院、基层医疗机构精神卫生服务功能，促进专科医疗机构与康复机构、社会组织、家庭互相衔接，深入推进精神卫生防、治、康、心理干预一体化发展。提升严重精神障碍患者规范管理水平。强化区域内协调联动，探索引入市级优质专业资源，深化精神专科医联体合作机制，为精神疾病患者提供连续性诊疗服务。强化精神卫生专业人才队伍建设，通过紧缺专业人才引进、转岗培训等方式，加快补充精神疾病防治力量，加强基层医疗卫生机构精神科建设。到“十四五”末，各社区卫生服务中心均设置精神科，至少配备</w:t>
      </w:r>
      <w:r>
        <w:rPr>
          <w:rFonts w:ascii="仿宋_GB2312" w:eastAsia="仿宋_GB2312" w:cs="仿宋"/>
          <w:bCs/>
          <w:color w:val="000000" w:themeColor="text1"/>
          <w:sz w:val="32"/>
          <w:szCs w:val="32"/>
          <w:highlight w:val="none"/>
          <w14:textFill>
            <w14:solidFill>
              <w14:schemeClr w14:val="tx1"/>
            </w14:solidFill>
          </w14:textFill>
        </w:rPr>
        <w:t>1名精神专业临床医师。</w:t>
      </w:r>
      <w:r>
        <w:rPr>
          <w:rFonts w:hint="eastAsia" w:ascii="仿宋_GB2312" w:eastAsia="仿宋_GB2312" w:cs="仿宋"/>
          <w:bCs/>
          <w:color w:val="000000" w:themeColor="text1"/>
          <w:sz w:val="32"/>
          <w:szCs w:val="32"/>
          <w:highlight w:val="none"/>
          <w14:textFill>
            <w14:solidFill>
              <w14:schemeClr w14:val="tx1"/>
            </w14:solidFill>
          </w14:textFill>
        </w:rPr>
        <w:t>发挥专业优势，建立应对重大灾害、重大疫情等突发公共卫生事件心理救援专业队伍，提升应急处置、心理康复和心理疏导能力。</w:t>
      </w:r>
    </w:p>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42" w:name="_Toc32574"/>
      <w:bookmarkStart w:id="43" w:name="_Toc18365"/>
      <w:bookmarkStart w:id="44" w:name="_Toc90318426"/>
      <w:bookmarkStart w:id="45" w:name="_Toc7143"/>
      <w:bookmarkStart w:id="46" w:name="_Toc24301"/>
      <w:bookmarkStart w:id="47" w:name="_Toc23162"/>
      <w:bookmarkStart w:id="48" w:name="_Toc7660"/>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（五）</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提升卫生监督</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执法水平</w:t>
      </w:r>
      <w:bookmarkEnd w:id="42"/>
      <w:bookmarkEnd w:id="43"/>
      <w:bookmarkEnd w:id="44"/>
    </w:p>
    <w:p>
      <w:pPr>
        <w:keepNext w:val="0"/>
        <w:keepLines w:val="0"/>
        <w:pageBreakBefore w:val="0"/>
        <w:pBdr>
          <w:bottom w:val="none" w:color="auto" w:sz="0" w:space="0"/>
        </w:pBdr>
        <w:kinsoku/>
        <w:wordWrap/>
        <w:topLinePunct w:val="0"/>
        <w:bidi w:val="0"/>
        <w:adjustRightInd/>
        <w:snapToGrid/>
        <w:spacing w:before="0" w:after="0" w:line="560" w:lineRule="exact"/>
        <w:ind w:firstLine="640" w:firstLineChars="200"/>
        <w:rPr>
          <w:rFonts w:hint="eastAsia" w:ascii="仿宋_GB2312" w:eastAsia="仿宋_GB2312" w:cs="仿宋"/>
          <w:bCs/>
          <w:color w:val="000000" w:themeColor="text1"/>
          <w:sz w:val="32"/>
          <w:szCs w:val="32"/>
          <w:highlight w:val="none"/>
          <w14:textFill>
            <w14:solidFill>
              <w14:schemeClr w14:val="tx1"/>
            </w14:solidFill>
          </w14:textFill>
        </w:rPr>
      </w:pPr>
      <w:r>
        <w:rPr>
          <w:rFonts w:hint="eastAsia" w:ascii="仿宋_GB2312" w:eastAsia="仿宋_GB2312" w:cs="仿宋"/>
          <w:bCs/>
          <w:color w:val="000000" w:themeColor="text1"/>
          <w:sz w:val="32"/>
          <w:szCs w:val="32"/>
          <w:highlight w:val="none"/>
          <w14:textFill>
            <w14:solidFill>
              <w14:schemeClr w14:val="tx1"/>
            </w14:solidFill>
          </w14:textFill>
        </w:rPr>
        <w:t>积极构建行政管理、行政监督、行政执法、行政问责为一体的卫生综合监督新机制，进一步完善卫生综合监督新体系。加大事中、事后监管力度，建立公共卫生、医疗卫生违法风险台账和监督销账制度，培养首席卫生监督员，提高其在医疗执法、传染病防治执法、公共卫生执法等方面的能力，承担辖区内本专业执法工作的业务指导、研究培训、社会咨询、宣传教育等任务，提升全行业专业执法水平。深化“双随机一公开”监督检查，全面加强医疗机构、职业卫生、学校卫生等监督检查力度；健全生活饮用水、公共场所室内空气、游泳池水等电子监管制度，扩大电子监管范围；完善行刑衔接机制，加大非法行医打击力度，规范医疗执业行为，保障医疗安全。卫生监督检查覆盖率达到100%。加强医疗卫生行业综合监管，进一步健全机构自治、行业自律、政府监管、社会监督相结合的多元化综合监管体系。</w:t>
      </w:r>
    </w:p>
    <w:p>
      <w:pPr>
        <w:keepNext w:val="0"/>
        <w:keepLines w:val="0"/>
        <w:pageBreakBefore w:val="0"/>
        <w:pBdr>
          <w:bottom w:val="none" w:color="auto" w:sz="0" w:space="0"/>
        </w:pBd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000000" w:themeColor="text1"/>
          <w:sz w:val="32"/>
          <w:szCs w:val="32"/>
          <w:highlight w:val="none"/>
          <w14:textFill>
            <w14:solidFill>
              <w14:schemeClr w14:val="tx1"/>
            </w14:solidFill>
          </w14:textFill>
        </w:rPr>
      </w:pPr>
      <w:bookmarkStart w:id="49" w:name="_Toc16249"/>
      <w:bookmarkStart w:id="50" w:name="_Toc11804"/>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建设优质的医疗卫生服务体系</w:t>
      </w:r>
      <w:bookmarkEnd w:id="49"/>
      <w:bookmarkEnd w:id="50"/>
    </w:p>
    <w:p>
      <w:pPr>
        <w:keepNext w:val="0"/>
        <w:keepLines w:val="0"/>
        <w:pageBreakBefore w:val="0"/>
        <w:numPr>
          <w:ilvl w:val="-1"/>
          <w:numId w:val="0"/>
        </w:numPr>
        <w:pBdr>
          <w:bottom w:val="none" w:color="auto" w:sz="0" w:space="0"/>
        </w:pBd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“十四五”期间，继续</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建设提供优质高效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连续性服务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的医疗</w:t>
      </w:r>
      <w:r>
        <w:rPr>
          <w:rFonts w:hint="eastAsia" w:ascii="仿宋_GB2312" w:hAnsi="仿宋_GB2312" w:eastAsia="仿宋_GB2312" w:cs="仿宋_GB2312"/>
          <w:color w:val="000000" w:themeColor="text1"/>
          <w:sz w:val="32"/>
          <w:szCs w:val="32"/>
          <w:highlight w:val="none"/>
          <w14:textFill>
            <w14:solidFill>
              <w14:schemeClr w14:val="tx1"/>
            </w14:solidFill>
          </w14:textFill>
        </w:rPr>
        <w:t>卫生服务体系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进一步</w:t>
      </w:r>
      <w:r>
        <w:rPr>
          <w:rFonts w:hint="eastAsia" w:ascii="仿宋_GB2312" w:hAnsi="仿宋_GB2312" w:eastAsia="仿宋_GB2312" w:cs="仿宋_GB2312"/>
          <w:color w:val="000000" w:themeColor="text1"/>
          <w:sz w:val="32"/>
          <w:szCs w:val="32"/>
          <w:highlight w:val="none"/>
          <w14:textFill>
            <w14:solidFill>
              <w14:schemeClr w14:val="tx1"/>
            </w14:solidFill>
          </w14:textFill>
        </w:rPr>
        <w:t>突出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体系的</w:t>
      </w:r>
      <w:r>
        <w:rPr>
          <w:rFonts w:hint="eastAsia" w:ascii="仿宋_GB2312" w:hAnsi="仿宋_GB2312" w:eastAsia="仿宋_GB2312" w:cs="仿宋_GB2312"/>
          <w:color w:val="000000" w:themeColor="text1"/>
          <w:sz w:val="32"/>
          <w:szCs w:val="32"/>
          <w:highlight w:val="none"/>
          <w14:textFill>
            <w14:solidFill>
              <w14:schemeClr w14:val="tx1"/>
            </w14:solidFill>
          </w14:textFill>
        </w:rPr>
        <w:t>协调性和系统性。</w:t>
      </w:r>
    </w:p>
    <w:p>
      <w:pPr>
        <w:keepNext w:val="0"/>
        <w:keepLines w:val="0"/>
        <w:pageBreakBefore w:val="0"/>
        <w:numPr>
          <w:ilvl w:val="-1"/>
          <w:numId w:val="0"/>
        </w:numPr>
        <w:pBdr>
          <w:bottom w:val="none" w:color="auto" w:sz="0" w:space="0"/>
        </w:pBdr>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51" w:name="_Toc2177"/>
      <w:bookmarkStart w:id="52" w:name="_Toc22132"/>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14:textFill>
            <w14:solidFill>
              <w14:schemeClr w14:val="tx1"/>
            </w14:solidFill>
          </w14:textFill>
        </w:rPr>
        <w:t>以承接优质医疗资源疏解为契机均衡医疗资源布局</w:t>
      </w:r>
      <w:bookmarkEnd w:id="51"/>
      <w:bookmarkEnd w:id="52"/>
    </w:p>
    <w:p>
      <w:pPr>
        <w:keepNext w:val="0"/>
        <w:keepLines w:val="0"/>
        <w:pageBreakBefore w:val="0"/>
        <w:widowControl/>
        <w:numPr>
          <w:ilvl w:val="-1"/>
          <w:numId w:val="0"/>
        </w:numPr>
        <w:pBdr>
          <w:bottom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结合大兴区功能定位和人口分布，推进医疗卫生服务资源均衡布局、优化结构。加快优质医疗资源扩容，加大优质资源引进力度，支持央属、市属医院在大兴区建立眼科、中医、骨科、口腔等分中心或同质化门诊部。在南部地区（临空经济区），积极引入央属、市属三甲综合医院。推进区属医院提质改建，补齐社区卫生服务中心配置，加强村级医疗机构建设，优化调整服务结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继续完善以区域医疗中心为龙头，以其他综合医院（含中医类医院）、专科医院为支撑，以基层医疗机构为网底，以康复及护理机构为补充的医疗服务体系。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区域医疗中心和专科医院负责急、危、疑难重症患者的医疗服务；承担康复和护理功能的医疗卫生机构负责疾病恢复期患者的康复护理、长期照护和安宁疗护患者的医疗服务；基层医疗卫生机构负责提供“六位一体”的医疗卫生服务。根据机构功能配置医疗资源，均衡布局，满足居民不同层次的医疗服务需求。</w:t>
      </w:r>
    </w:p>
    <w:p>
      <w:pPr>
        <w:keepNext w:val="0"/>
        <w:keepLines w:val="0"/>
        <w:pageBreakBefore w:val="0"/>
        <w:pBdr>
          <w:bottom w:val="none" w:color="auto" w:sz="0" w:space="0"/>
        </w:pBdr>
        <w:kinsoku/>
        <w:wordWrap/>
        <w:topLinePunct w:val="0"/>
        <w:bidi w:val="0"/>
        <w:adjustRightInd/>
        <w:snapToGrid/>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大兴区医疗服务设施以满足本辖区常住人口为主，2025年每千人口床位达到4.2张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左右</w:t>
      </w:r>
      <w:r>
        <w:rPr>
          <w:rFonts w:hint="eastAsia" w:ascii="仿宋_GB2312" w:hAnsi="仿宋_GB2312" w:eastAsia="仿宋_GB2312" w:cs="仿宋_GB2312"/>
          <w:color w:val="000000" w:themeColor="text1"/>
          <w:sz w:val="32"/>
          <w:szCs w:val="32"/>
          <w:highlight w:val="none"/>
          <w14:textFill>
            <w14:solidFill>
              <w14:schemeClr w14:val="tx1"/>
            </w14:solidFill>
          </w14:textFill>
        </w:rPr>
        <w:t>。按公立和社会办医疗机构分类配置，公立医疗机构床位配置达到2.2张/千人，社会办医疗机构床位配置标准不低于2.0张/千人，其中康复及护理床位标准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0.5张/千人。按照常住人口规模和服务范围合理布局医疗机构，坚持公立医院作为医疗卫生服务体系的主体，维护其公益性；鼓励社会办非营利性医院建设，引导社会办医疗机构与公立医疗机构错位协同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落实《北京市促进社会办医健康发展若干政策措施》，鼓励引导优质社会资本在医疗卫生资源短缺地区办医，或举办儿科、老年、护理、康复等专科医疗机构。</w:t>
      </w:r>
      <w:bookmarkEnd w:id="45"/>
      <w:bookmarkEnd w:id="46"/>
      <w:bookmarkEnd w:id="47"/>
      <w:bookmarkEnd w:id="48"/>
      <w:bookmarkStart w:id="53" w:name="_Toc31186"/>
      <w:r>
        <w:rPr>
          <w:rFonts w:hint="eastAsia" w:ascii="仿宋_GB2312" w:hAnsi="宋体" w:eastAsia="仿宋_GB2312" w:cs="宋体"/>
          <w:color w:val="000000" w:themeColor="text1"/>
          <w:kern w:val="0"/>
          <w:sz w:val="32"/>
          <w:szCs w:val="21"/>
          <w:highlight w:val="none"/>
          <w14:textFill>
            <w14:solidFill>
              <w14:schemeClr w14:val="tx1"/>
            </w14:solidFill>
          </w14:textFill>
        </w:rPr>
        <w:t>加强构建康复医疗服务体系，</w:t>
      </w:r>
      <w:r>
        <w:rPr>
          <w:rFonts w:hint="eastAsia" w:ascii="仿宋_GB2312" w:eastAsia="仿宋_GB2312" w:cs="仿宋_GB2312"/>
          <w:color w:val="000000" w:themeColor="text1"/>
          <w:sz w:val="32"/>
          <w:szCs w:val="32"/>
          <w:highlight w:val="none"/>
          <w14:textFill>
            <w14:solidFill>
              <w14:schemeClr w14:val="tx1"/>
            </w14:solidFill>
          </w14:textFill>
        </w:rPr>
        <w:t>以医联体为基础，以康复医学质控中心为抓手，持续规范提升社区康复医疗服务能力，强化</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内涵建设，促进康复和临床相结合，康复和家医服务相结合，打造“防-治-康”一体化健康管理模式，</w:t>
      </w:r>
      <w:r>
        <w:rPr>
          <w:rFonts w:hint="eastAsia" w:ascii="仿宋_GB2312" w:hAnsi="宋体" w:eastAsia="仿宋_GB2312"/>
          <w:snapToGrid w:val="0"/>
          <w:color w:val="000000" w:themeColor="text1"/>
          <w:sz w:val="32"/>
          <w:szCs w:val="32"/>
          <w:highlight w:val="none"/>
          <w14:textFill>
            <w14:solidFill>
              <w14:schemeClr w14:val="tx1"/>
            </w14:solidFill>
          </w14:textFill>
        </w:rPr>
        <w:t>满足群众健康需求。</w:t>
      </w:r>
    </w:p>
    <w:bookmarkEnd w:id="53"/>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val="0"/>
              <w:topLinePunct w:val="0"/>
              <w:bidi w:val="0"/>
              <w:spacing w:line="560" w:lineRule="exact"/>
              <w:ind w:firstLine="0" w:firstLineChars="0"/>
              <w:jc w:val="center"/>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lang w:eastAsia="zh-CN"/>
                <w14:textFill>
                  <w14:solidFill>
                    <w14:schemeClr w14:val="tx1"/>
                  </w14:solidFill>
                </w14:textFill>
              </w:rPr>
              <w:t>专栏</w:t>
            </w:r>
            <w:r>
              <w:rPr>
                <w:rFonts w:hint="eastAsia" w:ascii="仿宋_GB2312" w:hAnsi="宋体" w:eastAsia="仿宋_GB2312"/>
                <w:b/>
                <w:bCs/>
                <w:color w:val="000000" w:themeColor="text1"/>
                <w:sz w:val="32"/>
                <w:szCs w:val="32"/>
                <w:highlight w:val="none"/>
                <w:lang w:val="en-US" w:eastAsia="zh-CN"/>
                <w14:textFill>
                  <w14:solidFill>
                    <w14:schemeClr w14:val="tx1"/>
                  </w14:solidFill>
                </w14:textFill>
              </w:rPr>
              <w:t>4</w:t>
            </w:r>
            <w:r>
              <w:rPr>
                <w:rFonts w:hint="eastAsia" w:ascii="仿宋_GB2312" w:hAnsi="宋体" w:eastAsia="仿宋_GB2312"/>
                <w:b/>
                <w:bCs/>
                <w:color w:val="000000" w:themeColor="text1"/>
                <w:sz w:val="32"/>
                <w:szCs w:val="32"/>
                <w:highlight w:val="none"/>
                <w14:textFill>
                  <w14:solidFill>
                    <w14:schemeClr w14:val="tx1"/>
                  </w14:solidFill>
                </w14:textFill>
              </w:rPr>
              <w:t xml:space="preserve">  大兴区医疗卫生机构优化工程</w:t>
            </w:r>
          </w:p>
          <w:p>
            <w:pPr>
              <w:keepNext w:val="0"/>
              <w:keepLines w:val="0"/>
              <w:pageBreakBefore w:val="0"/>
              <w:kinsoku/>
              <w:wordWrap/>
              <w:overflowPunct w:val="0"/>
              <w:topLinePunct w:val="0"/>
              <w:bidi w:val="0"/>
              <w:spacing w:line="560" w:lineRule="exact"/>
              <w:ind w:firstLine="640"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落实大兴区功能定位，调整综合医院布局，完善专科医院建设。</w:t>
            </w:r>
            <w:r>
              <w:rPr>
                <w:rFonts w:hint="eastAsia" w:ascii="仿宋_GB2312" w:hAnsi="宋体" w:eastAsia="仿宋_GB2312" w:cstheme="minorBidi"/>
                <w:color w:val="000000" w:themeColor="text1"/>
                <w:sz w:val="32"/>
                <w:szCs w:val="32"/>
                <w:highlight w:val="none"/>
                <w14:textFill>
                  <w14:solidFill>
                    <w14:schemeClr w14:val="tx1"/>
                  </w14:solidFill>
                </w14:textFill>
              </w:rPr>
              <w:t>大力推动北京大学第一医院城南院区建成投用，配合推动首都医科大学研究型医院、北京安定医院新院区建设，支持中国中医科学院广安门医院、北京协和医院、北京天坛医院、北京安定医院等医院申报建设国家医学中心。</w:t>
            </w:r>
            <w:r>
              <w:rPr>
                <w:rFonts w:hint="eastAsia" w:ascii="仿宋_GB2312" w:hAnsi="宋体" w:eastAsia="仿宋_GB2312"/>
                <w:color w:val="000000" w:themeColor="text1"/>
                <w:sz w:val="32"/>
                <w:szCs w:val="32"/>
                <w:highlight w:val="none"/>
                <w14:textFill>
                  <w14:solidFill>
                    <w14:schemeClr w14:val="tx1"/>
                  </w14:solidFill>
                </w14:textFill>
              </w:rPr>
              <w:t>加快推进大兴区人民医院新址规划建设，继续加强</w:t>
            </w:r>
            <w:r>
              <w:rPr>
                <w:rFonts w:hint="eastAsia" w:ascii="仿宋_GB2312" w:hAnsi="宋体" w:eastAsia="仿宋_GB2312" w:cstheme="minorBidi"/>
                <w:color w:val="000000" w:themeColor="text1"/>
                <w:sz w:val="32"/>
                <w:szCs w:val="32"/>
                <w:highlight w:val="none"/>
                <w14:textFill>
                  <w14:solidFill>
                    <w14:schemeClr w14:val="tx1"/>
                  </w14:solidFill>
                </w14:textFill>
              </w:rPr>
              <w:t>大兴区区域医疗中心功能定位，</w:t>
            </w:r>
            <w:r>
              <w:rPr>
                <w:rFonts w:hint="eastAsia" w:ascii="仿宋_GB2312" w:hAnsi="宋体" w:eastAsia="仿宋_GB2312"/>
                <w:color w:val="000000" w:themeColor="text1"/>
                <w:sz w:val="32"/>
                <w:szCs w:val="32"/>
                <w:highlight w:val="none"/>
                <w14:textFill>
                  <w14:solidFill>
                    <w14:schemeClr w14:val="tx1"/>
                  </w14:solidFill>
                </w14:textFill>
              </w:rPr>
              <w:t>建设发展成为首都医科大学附属综合医院，</w:t>
            </w:r>
            <w:r>
              <w:rPr>
                <w:rFonts w:hint="eastAsia" w:ascii="仿宋_GB2312" w:hAnsi="宋体" w:eastAsia="仿宋_GB2312" w:cstheme="minorBidi"/>
                <w:color w:val="000000" w:themeColor="text1"/>
                <w:sz w:val="32"/>
                <w:szCs w:val="32"/>
                <w:highlight w:val="none"/>
                <w14:textFill>
                  <w14:solidFill>
                    <w14:schemeClr w14:val="tx1"/>
                  </w14:solidFill>
                </w14:textFill>
              </w:rPr>
              <w:t>为首都医科大学人才培养提供临床实习平台、为首都医科大学研究型医院提供基础性支撑。积极推进大兴区中西医结合医院新址项目建设。结合临空经济区发展功能定位需求，</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配合临空经济区积极引进三甲综合医院。</w:t>
            </w:r>
          </w:p>
        </w:tc>
      </w:tr>
    </w:tbl>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54" w:name="_Toc32438"/>
      <w:bookmarkStart w:id="55" w:name="_Toc5059"/>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w:t>
      </w:r>
      <w:bookmarkEnd w:id="54"/>
      <w:bookmarkStart w:id="56" w:name="_Toc13233"/>
      <w:bookmarkStart w:id="57" w:name="_Toc3705"/>
      <w:bookmarkStart w:id="58" w:name="_Toc22752"/>
      <w:bookmarkStart w:id="59" w:name="_Toc24790"/>
      <w:bookmarkStart w:id="60" w:name="_Toc90318429"/>
      <w:r>
        <w:rPr>
          <w:rFonts w:hint="eastAsia" w:ascii="楷体_GB2312" w:hAnsi="楷体_GB2312" w:eastAsia="楷体_GB2312" w:cs="楷体_GB2312"/>
          <w:color w:val="000000" w:themeColor="text1"/>
          <w:kern w:val="2"/>
          <w:sz w:val="32"/>
          <w:szCs w:val="32"/>
          <w:highlight w:val="none"/>
          <w14:textFill>
            <w14:solidFill>
              <w14:schemeClr w14:val="tx1"/>
            </w14:solidFill>
          </w14:textFill>
        </w:rPr>
        <w:t>以学科为引领提升医疗机构</w:t>
      </w:r>
      <w:bookmarkEnd w:id="56"/>
      <w:bookmarkEnd w:id="57"/>
      <w:bookmarkEnd w:id="58"/>
      <w:r>
        <w:rPr>
          <w:rFonts w:hint="eastAsia" w:ascii="楷体_GB2312" w:hAnsi="楷体_GB2312" w:eastAsia="楷体_GB2312" w:cs="楷体_GB2312"/>
          <w:color w:val="000000" w:themeColor="text1"/>
          <w:kern w:val="2"/>
          <w:sz w:val="32"/>
          <w:szCs w:val="32"/>
          <w:highlight w:val="none"/>
          <w14:textFill>
            <w14:solidFill>
              <w14:schemeClr w14:val="tx1"/>
            </w14:solidFill>
          </w14:textFill>
        </w:rPr>
        <w:t>服务质量</w:t>
      </w:r>
      <w:bookmarkEnd w:id="55"/>
      <w:bookmarkEnd w:id="59"/>
      <w:bookmarkEnd w:id="60"/>
    </w:p>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医院功能定位为核心，加强区内二、三级医院的整体发展；以学科为引领，提升医疗机构的品质；强化二、三级医院对基层医疗机构的培训指导及帮扶，提高基层医疗服务能力。加强区域医疗中心建设，以新址建设为契机，持续加强重点学科和服务能力建设，打造综合优势突出、技术服务领先、医教研防全面的三级综合医院。发挥区级中医医疗机构特色优势，持续加强区级中医机构建设，建立融预防保健、疾病治疗和康复于一体的中医药服务体系。做强区级专科医疗机构，打造学科特色，加强与区内其他医院分工协作，实现“大病不出区”目标。</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val="0"/>
              <w:topLinePunct w:val="0"/>
              <w:bidi w:val="0"/>
              <w:spacing w:line="560" w:lineRule="exact"/>
              <w:ind w:firstLine="0" w:firstLineChars="0"/>
              <w:jc w:val="center"/>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lang w:eastAsia="zh-CN"/>
                <w14:textFill>
                  <w14:solidFill>
                    <w14:schemeClr w14:val="tx1"/>
                  </w14:solidFill>
                </w14:textFill>
              </w:rPr>
              <w:t>专栏</w:t>
            </w:r>
            <w:r>
              <w:rPr>
                <w:rFonts w:ascii="仿宋_GB2312" w:hAnsi="宋体" w:eastAsia="仿宋_GB2312"/>
                <w:b/>
                <w:bCs/>
                <w:color w:val="000000" w:themeColor="text1"/>
                <w:sz w:val="32"/>
                <w:szCs w:val="32"/>
                <w:highlight w:val="none"/>
                <w14:textFill>
                  <w14:solidFill>
                    <w14:schemeClr w14:val="tx1"/>
                  </w14:solidFill>
                </w14:textFill>
              </w:rPr>
              <w:t>5</w:t>
            </w:r>
            <w:r>
              <w:rPr>
                <w:rFonts w:hint="eastAsia" w:ascii="仿宋_GB2312" w:hAnsi="宋体" w:eastAsia="仿宋_GB2312"/>
                <w:b/>
                <w:bCs/>
                <w:color w:val="000000" w:themeColor="text1"/>
                <w:sz w:val="32"/>
                <w:szCs w:val="32"/>
                <w:highlight w:val="none"/>
                <w14:textFill>
                  <w14:solidFill>
                    <w14:schemeClr w14:val="tx1"/>
                  </w14:solidFill>
                </w14:textFill>
              </w:rPr>
              <w:t xml:space="preserve">  大兴区属医院学科与人才提质工程</w:t>
            </w:r>
          </w:p>
          <w:p>
            <w:pPr>
              <w:keepNext w:val="0"/>
              <w:keepLines w:val="0"/>
              <w:pageBreakBefore w:val="0"/>
              <w:kinsoku/>
              <w:wordWrap/>
              <w:overflowPunct w:val="0"/>
              <w:topLinePunct w:val="0"/>
              <w:bidi w:val="0"/>
              <w:spacing w:line="560" w:lineRule="exact"/>
              <w:ind w:firstLine="640"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对照群众健康需求和事业发展要求，促进专业技术队伍和学科建设高质量发展，持续增加儿科、康复、精神等服务供给。深化内涵建设，支持市级临床重点专科培养项目及区域重点学科建设，提高常见病、多发病临床诊疗能力。“十四五”时期，完善胸痛、创伤、卒中等急性病多学科诊疗中心模式，抓住抢救“黄金期”，提高抢救成功率。在大兴区现有优势学科基础上，遴选部分重点学科，加强区级重点学科扶持培养力度，力争达到市级重点培育学科（专科）水平。以学科为基础进行人才引进、加强研究基础设施与人才队伍建设，不断壮大学科基础。</w:t>
            </w:r>
          </w:p>
        </w:tc>
      </w:tr>
    </w:tbl>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61" w:name="_Toc6486"/>
      <w:bookmarkStart w:id="62" w:name="_Toc14725"/>
      <w:bookmarkStart w:id="63" w:name="_Toc9184"/>
      <w:bookmarkStart w:id="64" w:name="_Toc15151"/>
      <w:bookmarkStart w:id="65" w:name="_Toc90318430"/>
      <w:bookmarkStart w:id="66" w:name="_Toc31046"/>
      <w:r>
        <w:rPr>
          <w:rFonts w:hint="eastAsia" w:ascii="楷体_GB2312" w:hAnsi="楷体_GB2312" w:eastAsia="楷体_GB2312" w:cs="楷体_GB2312"/>
          <w:color w:val="000000" w:themeColor="text1"/>
          <w:sz w:val="32"/>
          <w:szCs w:val="32"/>
          <w:highlight w:val="none"/>
          <w14:textFill>
            <w14:solidFill>
              <w14:schemeClr w14:val="tx1"/>
            </w14:solidFill>
          </w14:textFill>
        </w:rPr>
        <w:t>（三）以方便群众就医为重点</w:t>
      </w:r>
      <w:bookmarkEnd w:id="61"/>
      <w:bookmarkEnd w:id="62"/>
      <w:bookmarkEnd w:id="63"/>
      <w:r>
        <w:rPr>
          <w:rFonts w:hint="eastAsia" w:ascii="楷体_GB2312" w:hAnsi="楷体_GB2312" w:eastAsia="楷体_GB2312" w:cs="楷体_GB2312"/>
          <w:color w:val="000000" w:themeColor="text1"/>
          <w:sz w:val="32"/>
          <w:szCs w:val="32"/>
          <w:highlight w:val="none"/>
          <w14:textFill>
            <w14:solidFill>
              <w14:schemeClr w14:val="tx1"/>
            </w14:solidFill>
          </w14:textFill>
        </w:rPr>
        <w:t>优化服务结构</w:t>
      </w:r>
      <w:bookmarkEnd w:id="64"/>
      <w:bookmarkEnd w:id="65"/>
      <w:bookmarkEnd w:id="66"/>
    </w:p>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四五”时期，增加紧缺医疗资源供给，进一步增加社区卫生服务中心康复及护理床位。做实基本医疗服务网点，巩固社区卫生服务中心（镇卫生院）在常见病、多发病的诊疗、护理、康复等综合服务方面的优势。以居民健康需求为导向，以健康管理为主要任务，深入开展家庭医生签约服务，逐步实现由“以疾病治疗为中心”向“以健康促进为中心”的模式转变。社区卫生服务机构在专业公共卫生机构指导下为居民提供基本公共卫生服务，健全社区卫生服务中心与街道(镇)的协同联动机制，为街道(镇)开展公共卫生工作提供专业技术支持，形成基层公共卫生工作合力。</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val="0"/>
              <w:topLinePunct w:val="0"/>
              <w:bidi w:val="0"/>
              <w:spacing w:line="560" w:lineRule="exact"/>
              <w:ind w:firstLine="0" w:firstLineChars="0"/>
              <w:jc w:val="center"/>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lang w:eastAsia="zh-CN"/>
                <w14:textFill>
                  <w14:solidFill>
                    <w14:schemeClr w14:val="tx1"/>
                  </w14:solidFill>
                </w14:textFill>
              </w:rPr>
              <w:t>专栏</w:t>
            </w:r>
            <w:r>
              <w:rPr>
                <w:rFonts w:ascii="仿宋_GB2312" w:hAnsi="宋体" w:eastAsia="仿宋_GB2312"/>
                <w:b/>
                <w:bCs/>
                <w:color w:val="000000" w:themeColor="text1"/>
                <w:sz w:val="32"/>
                <w:szCs w:val="32"/>
                <w:highlight w:val="none"/>
                <w14:textFill>
                  <w14:solidFill>
                    <w14:schemeClr w14:val="tx1"/>
                  </w14:solidFill>
                </w14:textFill>
              </w:rPr>
              <w:t>6</w:t>
            </w:r>
            <w:r>
              <w:rPr>
                <w:rFonts w:hint="eastAsia" w:ascii="仿宋_GB2312" w:hAnsi="宋体" w:eastAsia="仿宋_GB2312"/>
                <w:b/>
                <w:bCs/>
                <w:color w:val="000000" w:themeColor="text1"/>
                <w:sz w:val="32"/>
                <w:szCs w:val="32"/>
                <w:highlight w:val="none"/>
                <w14:textFill>
                  <w14:solidFill>
                    <w14:schemeClr w14:val="tx1"/>
                  </w14:solidFill>
                </w14:textFill>
              </w:rPr>
              <w:t xml:space="preserve">  大兴区基层医疗卫生机构建设的便民工程</w:t>
            </w:r>
          </w:p>
          <w:p>
            <w:pPr>
              <w:keepNext w:val="0"/>
              <w:keepLines w:val="0"/>
              <w:pageBreakBefore w:val="0"/>
              <w:kinsoku/>
              <w:wordWrap/>
              <w:overflowPunct w:val="0"/>
              <w:topLinePunct w:val="0"/>
              <w:bidi w:val="0"/>
              <w:spacing w:line="560" w:lineRule="exact"/>
              <w:ind w:firstLine="643" w:firstLineChars="200"/>
              <w:jc w:val="left"/>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合理规划设置。</w:t>
            </w:r>
            <w:r>
              <w:rPr>
                <w:rFonts w:hint="eastAsia" w:ascii="仿宋_GB2312" w:hAnsi="宋体" w:eastAsia="仿宋_GB2312"/>
                <w:color w:val="000000" w:themeColor="text1"/>
                <w:sz w:val="32"/>
                <w:szCs w:val="32"/>
                <w:highlight w:val="none"/>
                <w14:textFill>
                  <w14:solidFill>
                    <w14:schemeClr w14:val="tx1"/>
                  </w14:solidFill>
                </w14:textFill>
              </w:rPr>
              <w:t>到2022年底，原则上每个街道（镇）至少设置1所社区卫生服务中心，根据常住人口动态，调整社区卫生服务中心的设置。持续完善基层医疗卫生机构（社区卫生服务站、村卫生室）建设，城镇地区按照每2个社区配备1个站点的原则，参考人口、交通等因素提出社区卫生服务站设置规划，配合街道推进站点建设；农村地区结合新农村建设，动态调整持续完善村卫生室标准化。发挥社区卫生服务中心定期巡诊和社区卫生服务站的周边辐射作用。</w:t>
            </w:r>
          </w:p>
          <w:p>
            <w:pPr>
              <w:keepNext w:val="0"/>
              <w:keepLines w:val="0"/>
              <w:pageBreakBefore w:val="0"/>
              <w:kinsoku/>
              <w:wordWrap/>
              <w:overflowPunct w:val="0"/>
              <w:topLinePunct w:val="0"/>
              <w:bidi w:val="0"/>
              <w:spacing w:line="560" w:lineRule="exact"/>
              <w:ind w:firstLine="643"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加强机构建设。</w:t>
            </w:r>
            <w:r>
              <w:rPr>
                <w:rFonts w:hint="eastAsia" w:ascii="仿宋_GB2312" w:hAnsi="宋体" w:eastAsia="仿宋_GB2312"/>
                <w:color w:val="000000" w:themeColor="text1"/>
                <w:sz w:val="32"/>
                <w:szCs w:val="32"/>
                <w:highlight w:val="none"/>
                <w14:textFill>
                  <w14:solidFill>
                    <w14:schemeClr w14:val="tx1"/>
                  </w14:solidFill>
                </w14:textFill>
              </w:rPr>
              <w:t>“十四</w:t>
            </w:r>
            <w:r>
              <w:rPr>
                <w:rFonts w:ascii="仿宋_GB2312" w:hAnsi="宋体" w:eastAsia="仿宋_GB2312"/>
                <w:color w:val="000000" w:themeColor="text1"/>
                <w:sz w:val="32"/>
                <w:szCs w:val="32"/>
                <w:highlight w:val="none"/>
                <w14:textFill>
                  <w14:solidFill>
                    <w14:schemeClr w14:val="tx1"/>
                  </w14:solidFill>
                </w14:textFill>
              </w:rPr>
              <w:t>五</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期间，</w:t>
            </w:r>
            <w:r>
              <w:rPr>
                <w:rFonts w:hint="eastAsia" w:ascii="仿宋_GB2312" w:hAnsi="宋体" w:eastAsia="仿宋_GB2312"/>
                <w:color w:val="000000" w:themeColor="text1"/>
                <w:sz w:val="32"/>
                <w:szCs w:val="32"/>
                <w:highlight w:val="none"/>
                <w14:textFill>
                  <w14:solidFill>
                    <w14:schemeClr w14:val="tx1"/>
                  </w14:solidFill>
                </w14:textFill>
              </w:rPr>
              <w:t>补齐社区</w:t>
            </w:r>
            <w:r>
              <w:rPr>
                <w:rFonts w:ascii="仿宋_GB2312" w:hAnsi="宋体" w:eastAsia="仿宋_GB2312"/>
                <w:color w:val="000000" w:themeColor="text1"/>
                <w:sz w:val="32"/>
                <w:szCs w:val="32"/>
                <w:highlight w:val="none"/>
                <w14:textFill>
                  <w14:solidFill>
                    <w14:schemeClr w14:val="tx1"/>
                  </w14:solidFill>
                </w14:textFill>
              </w:rPr>
              <w:t>卫生</w:t>
            </w:r>
            <w:r>
              <w:rPr>
                <w:rFonts w:hint="eastAsia" w:ascii="仿宋_GB2312" w:hAnsi="宋体" w:eastAsia="仿宋_GB2312"/>
                <w:color w:val="000000" w:themeColor="text1"/>
                <w:sz w:val="32"/>
                <w:szCs w:val="32"/>
                <w:highlight w:val="none"/>
                <w14:textFill>
                  <w14:solidFill>
                    <w14:schemeClr w14:val="tx1"/>
                  </w14:solidFill>
                </w14:textFill>
              </w:rPr>
              <w:t>服务</w:t>
            </w:r>
            <w:r>
              <w:rPr>
                <w:rFonts w:ascii="仿宋_GB2312" w:hAnsi="宋体" w:eastAsia="仿宋_GB2312"/>
                <w:color w:val="000000" w:themeColor="text1"/>
                <w:sz w:val="32"/>
                <w:szCs w:val="32"/>
                <w:highlight w:val="none"/>
                <w14:textFill>
                  <w14:solidFill>
                    <w14:schemeClr w14:val="tx1"/>
                  </w14:solidFill>
                </w14:textFill>
              </w:rPr>
              <w:t>中心配置，</w:t>
            </w:r>
            <w:r>
              <w:rPr>
                <w:rFonts w:hint="eastAsia" w:ascii="仿宋_GB2312" w:hAnsi="宋体" w:eastAsia="仿宋_GB2312"/>
                <w:color w:val="000000" w:themeColor="text1"/>
                <w:sz w:val="32"/>
                <w:szCs w:val="32"/>
                <w:highlight w:val="none"/>
                <w14:textFill>
                  <w14:solidFill>
                    <w14:schemeClr w14:val="tx1"/>
                  </w14:solidFill>
                </w14:textFill>
              </w:rPr>
              <w:t>完成天宫院、观音寺、高米店、清源、林校路街道社区卫生服务中心新建、提升改造工程。促进基层卫生院服务能力提升，推</w:t>
            </w:r>
            <w:r>
              <w:rPr>
                <w:rFonts w:hint="eastAsia" w:ascii="仿宋_GB2312" w:hAnsi="宋体" w:eastAsia="仿宋_GB2312"/>
                <w:color w:val="000000" w:themeColor="text1"/>
                <w:sz w:val="32"/>
                <w:szCs w:val="32"/>
                <w:highlight w:val="none"/>
                <w:lang w:eastAsia="zh-CN"/>
                <w14:textFill>
                  <w14:solidFill>
                    <w14:schemeClr w14:val="tx1"/>
                  </w14:solidFill>
                </w14:textFill>
              </w:rPr>
              <w:t>进</w:t>
            </w:r>
            <w:r>
              <w:rPr>
                <w:rFonts w:hint="eastAsia" w:ascii="仿宋_GB2312" w:hAnsi="宋体" w:eastAsia="仿宋_GB2312"/>
                <w:color w:val="000000" w:themeColor="text1"/>
                <w:sz w:val="32"/>
                <w:szCs w:val="32"/>
                <w:highlight w:val="none"/>
                <w14:textFill>
                  <w14:solidFill>
                    <w14:schemeClr w14:val="tx1"/>
                  </w14:solidFill>
                </w14:textFill>
              </w:rPr>
              <w:t>庞各庄镇中心卫生院新址等项目建设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优化调整社区卫生服务站和村卫生室布局。做好新建、改建居住区医疗卫生类公共服务设施的验收和使用。</w:t>
            </w:r>
            <w:r>
              <w:rPr>
                <w:rFonts w:hint="eastAsia" w:ascii="仿宋_GB2312" w:hAnsi="宋体" w:eastAsia="仿宋_GB2312"/>
                <w:color w:val="000000" w:themeColor="text1"/>
                <w:sz w:val="32"/>
                <w:szCs w:val="32"/>
                <w:highlight w:val="none"/>
                <w:lang w:eastAsia="zh-CN"/>
                <w14:textFill>
                  <w14:solidFill>
                    <w14:schemeClr w14:val="tx1"/>
                  </w14:solidFill>
                </w14:textFill>
              </w:rPr>
              <w:t>完成</w:t>
            </w:r>
            <w:r>
              <w:rPr>
                <w:rFonts w:hint="eastAsia" w:ascii="仿宋_GB2312" w:hAnsi="宋体" w:eastAsia="仿宋_GB2312"/>
                <w:color w:val="000000" w:themeColor="text1"/>
                <w:sz w:val="32"/>
                <w:szCs w:val="32"/>
                <w:highlight w:val="none"/>
                <w14:textFill>
                  <w14:solidFill>
                    <w14:schemeClr w14:val="tx1"/>
                  </w14:solidFill>
                </w14:textFill>
              </w:rPr>
              <w:t>榆垡组团、礼贤组团配套社区卫生服务中心建设</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结合机场临空经济区建设，加强机场临近地区的榆垡镇卫生院、礼贤镇卫生院基础设施建设和资源配置，加强紧密型医联体建设，持续提升两个卫生院医疗服务能力，保障建设期间卫生服务供给。</w:t>
            </w:r>
          </w:p>
        </w:tc>
      </w:tr>
    </w:tbl>
    <w:tbl>
      <w:tblPr>
        <w:tblStyle w:val="6"/>
        <w:tblpPr w:leftFromText="180" w:rightFromText="180" w:vertAnchor="text" w:horzAnchor="page" w:tblpX="1605" w:tblpY="771"/>
        <w:tblOverlap w:val="never"/>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val="0"/>
              <w:topLinePunct w:val="0"/>
              <w:bidi w:val="0"/>
              <w:spacing w:line="560" w:lineRule="exact"/>
              <w:ind w:firstLine="0" w:firstLineChars="0"/>
              <w:jc w:val="center"/>
              <w:rPr>
                <w:rFonts w:hint="eastAsia" w:ascii="仿宋_GB2312" w:hAnsi="宋体" w:eastAsia="仿宋_GB2312"/>
                <w:b/>
                <w:bCs/>
                <w:color w:val="000000" w:themeColor="text1"/>
                <w:sz w:val="32"/>
                <w:szCs w:val="32"/>
                <w:highlight w:val="none"/>
                <w14:textFill>
                  <w14:solidFill>
                    <w14:schemeClr w14:val="tx1"/>
                  </w14:solidFill>
                </w14:textFill>
              </w:rPr>
            </w:pPr>
            <w:bookmarkStart w:id="67" w:name="_Toc10896"/>
            <w:bookmarkStart w:id="68" w:name="_Toc26154"/>
            <w:bookmarkStart w:id="69" w:name="_Toc31879"/>
            <w:r>
              <w:rPr>
                <w:rFonts w:hint="eastAsia" w:ascii="仿宋_GB2312" w:hAnsi="宋体" w:eastAsia="仿宋_GB2312"/>
                <w:b/>
                <w:bCs/>
                <w:color w:val="000000" w:themeColor="text1"/>
                <w:sz w:val="32"/>
                <w:szCs w:val="32"/>
                <w:highlight w:val="none"/>
                <w:lang w:eastAsia="zh-CN"/>
                <w14:textFill>
                  <w14:solidFill>
                    <w14:schemeClr w14:val="tx1"/>
                  </w14:solidFill>
                </w14:textFill>
              </w:rPr>
              <w:t>专栏</w:t>
            </w:r>
            <w:r>
              <w:rPr>
                <w:rFonts w:ascii="仿宋_GB2312" w:hAnsi="宋体" w:eastAsia="仿宋_GB2312"/>
                <w:b/>
                <w:bCs/>
                <w:color w:val="000000" w:themeColor="text1"/>
                <w:sz w:val="32"/>
                <w:szCs w:val="32"/>
                <w:highlight w:val="none"/>
                <w14:textFill>
                  <w14:solidFill>
                    <w14:schemeClr w14:val="tx1"/>
                  </w14:solidFill>
                </w14:textFill>
              </w:rPr>
              <w:t>7</w:t>
            </w:r>
            <w:r>
              <w:rPr>
                <w:rFonts w:hint="eastAsia" w:ascii="仿宋_GB2312" w:hAnsi="宋体" w:eastAsia="仿宋_GB2312"/>
                <w:b/>
                <w:bCs/>
                <w:color w:val="000000" w:themeColor="text1"/>
                <w:sz w:val="32"/>
                <w:szCs w:val="32"/>
                <w:highlight w:val="none"/>
                <w14:textFill>
                  <w14:solidFill>
                    <w14:schemeClr w14:val="tx1"/>
                  </w14:solidFill>
                </w14:textFill>
              </w:rPr>
              <w:t xml:space="preserve"> </w:t>
            </w:r>
            <w:r>
              <w:rPr>
                <w:rFonts w:hint="eastAsia" w:ascii="仿宋_GB2312" w:hAnsi="宋体" w:eastAsia="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b/>
                <w:bCs/>
                <w:color w:val="000000" w:themeColor="text1"/>
                <w:sz w:val="32"/>
                <w:szCs w:val="32"/>
                <w:highlight w:val="none"/>
                <w14:textFill>
                  <w14:solidFill>
                    <w14:schemeClr w14:val="tx1"/>
                  </w14:solidFill>
                </w14:textFill>
              </w:rPr>
              <w:t>提升基层卫生服务能力建设的网底工程</w:t>
            </w:r>
          </w:p>
          <w:p>
            <w:pPr>
              <w:keepNext w:val="0"/>
              <w:keepLines w:val="0"/>
              <w:pageBreakBefore w:val="0"/>
              <w:kinsoku/>
              <w:wordWrap/>
              <w:overflowPunct w:val="0"/>
              <w:topLinePunct w:val="0"/>
              <w:bidi w:val="0"/>
              <w:spacing w:line="560" w:lineRule="exact"/>
              <w:ind w:firstLine="640"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积极推进基层医疗卫生机构绩效工资相关政策的落实，动态调整家庭医生签约服务费标准。加强家庭医生团队建设，强化“1+N+X”模式推广，鼓励专科医生进入家庭医生团队，充实基层卫生人员力量，增强家庭医生签约服务的“粘性”，做实做细家医服务。进一步完善家庭医生及团队绩效评价体系，做好第三方签约居民满意度评价。以西红门社区卫生服务中心为试点开展居民健康驿站建设，进一步丰富家医团队服务内容，提高居民获得感。推广长子营社区卫生服务中心“流动医疗站”服务模式，利用医疗服务车入村上门，开展诊疗、随访、宣教等服务，实现健康管理服务零距离。落实</w:t>
            </w:r>
            <w:r>
              <w:rPr>
                <w:rFonts w:hint="eastAsia" w:ascii="仿宋_GB2312" w:hAnsi="仿宋_GB2312" w:eastAsia="仿宋_GB2312" w:cs="仿宋_GB2312"/>
                <w:color w:val="000000" w:themeColor="text1"/>
                <w:sz w:val="32"/>
                <w:szCs w:val="32"/>
                <w:highlight w:val="none"/>
                <w14:textFill>
                  <w14:solidFill>
                    <w14:schemeClr w14:val="tx1"/>
                  </w14:solidFill>
                </w14:textFill>
              </w:rPr>
              <w:t>村级医疗机构标准化建设，按照“区定岗、镇管理、村使用”原则，完善村级医疗机构及人员配置方案，加强医疗卫生人员配置，提升基本医疗及公共卫生服务能力。</w:t>
            </w:r>
          </w:p>
        </w:tc>
      </w:tr>
      <w:bookmarkEnd w:id="67"/>
      <w:bookmarkEnd w:id="68"/>
      <w:bookmarkEnd w:id="69"/>
    </w:tbl>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outlineLvl w:val="2"/>
        <w:rPr>
          <w:rFonts w:ascii="楷体_GB2312" w:hAnsi="楷体_GB2312" w:eastAsia="楷体_GB2312" w:cs="楷体_GB2312"/>
          <w:bCs w:val="0"/>
          <w:color w:val="000000" w:themeColor="text1"/>
          <w:sz w:val="32"/>
          <w:szCs w:val="32"/>
          <w:highlight w:val="none"/>
          <w14:textFill>
            <w14:solidFill>
              <w14:schemeClr w14:val="tx1"/>
            </w14:solidFill>
          </w14:textFill>
        </w:rPr>
      </w:pPr>
      <w:bookmarkStart w:id="70" w:name="_Toc21193"/>
      <w:bookmarkStart w:id="71" w:name="_Toc9885"/>
      <w:bookmarkStart w:id="72" w:name="_Toc5967"/>
      <w:bookmarkStart w:id="73" w:name="_Toc28444"/>
      <w:bookmarkStart w:id="74" w:name="_Toc23771"/>
      <w:bookmarkStart w:id="75" w:name="_Toc25231"/>
      <w:bookmarkStart w:id="76" w:name="_Toc90318431"/>
      <w:r>
        <w:rPr>
          <w:rFonts w:hint="eastAsia" w:ascii="楷体_GB2312" w:hAnsi="楷体_GB2312" w:eastAsia="楷体_GB2312" w:cs="楷体_GB2312"/>
          <w:color w:val="000000" w:themeColor="text1"/>
          <w:sz w:val="32"/>
          <w:szCs w:val="32"/>
          <w:highlight w:val="none"/>
          <w14:textFill>
            <w14:solidFill>
              <w14:schemeClr w14:val="tx1"/>
            </w14:solidFill>
          </w14:textFill>
        </w:rPr>
        <w:t>（四）以中医传承为核心</w:t>
      </w:r>
      <w:r>
        <w:rPr>
          <w:rFonts w:hint="eastAsia" w:ascii="楷体_GB2312" w:hAnsi="楷体_GB2312" w:eastAsia="楷体_GB2312" w:cs="楷体_GB2312"/>
          <w:bCs w:val="0"/>
          <w:color w:val="000000" w:themeColor="text1"/>
          <w:sz w:val="32"/>
          <w:szCs w:val="32"/>
          <w:highlight w:val="none"/>
          <w14:textFill>
            <w14:solidFill>
              <w14:schemeClr w14:val="tx1"/>
            </w14:solidFill>
          </w14:textFill>
        </w:rPr>
        <w:t>推动中医药健康服务发展</w:t>
      </w:r>
      <w:bookmarkEnd w:id="70"/>
      <w:bookmarkEnd w:id="71"/>
      <w:bookmarkEnd w:id="72"/>
      <w:bookmarkEnd w:id="73"/>
      <w:bookmarkEnd w:id="74"/>
      <w:bookmarkEnd w:id="75"/>
      <w:bookmarkEnd w:id="76"/>
    </w:p>
    <w:p>
      <w:pPr>
        <w:keepNext w:val="0"/>
        <w:keepLines w:val="0"/>
        <w:pageBreakBefore w:val="0"/>
        <w:numPr>
          <w:ilvl w:val="-1"/>
          <w:numId w:val="0"/>
        </w:numPr>
        <w:pBdr>
          <w:bottom w:val="none" w:color="auto" w:sz="0" w:space="0"/>
        </w:pBdr>
        <w:kinsoku/>
        <w:wordWrap/>
        <w:overflowPunct w:val="0"/>
        <w:topLinePunct w:val="0"/>
        <w:bidi w:val="0"/>
        <w:adjustRightInd/>
        <w:snapToGrid/>
        <w:spacing w:line="560" w:lineRule="exact"/>
        <w:ind w:firstLine="640" w:firstLineChars="200"/>
        <w:jc w:val="left"/>
        <w:rPr>
          <w:rFonts w:hint="eastAsia" w:ascii="仿宋_GB2312" w:hAnsi="宋体" w:eastAsia="仿宋_GB2312"/>
          <w:color w:val="000000" w:themeColor="text1"/>
          <w:sz w:val="32"/>
          <w:szCs w:val="32"/>
          <w:highlight w:val="none"/>
          <w14:textFill>
            <w14:solidFill>
              <w14:schemeClr w14:val="tx1"/>
            </w14:solidFill>
          </w14:textFill>
        </w:rPr>
      </w:pPr>
      <w:r>
        <w:rPr>
          <w:rFonts w:hint="default" w:ascii="仿宋_GB2312" w:hAnsi="宋体" w:eastAsia="仿宋_GB2312"/>
          <w:b w:val="0"/>
          <w:bCs w:val="0"/>
          <w:color w:val="000000" w:themeColor="text1"/>
          <w:sz w:val="32"/>
          <w:szCs w:val="32"/>
          <w:highlight w:val="none"/>
          <w14:textFill>
            <w14:solidFill>
              <w14:schemeClr w14:val="tx1"/>
            </w14:solidFill>
          </w14:textFill>
        </w:rPr>
        <w:t>持续加强区级中医、中西医结合机构建设</w:t>
      </w:r>
      <w:r>
        <w:rPr>
          <w:rFonts w:hint="default" w:ascii="仿宋_GB2312" w:hAnsi="宋体" w:eastAsia="仿宋_GB2312"/>
          <w:color w:val="000000" w:themeColor="text1"/>
          <w:sz w:val="32"/>
          <w:szCs w:val="32"/>
          <w:highlight w:val="none"/>
          <w14:textFill>
            <w14:solidFill>
              <w14:schemeClr w14:val="tx1"/>
            </w14:solidFill>
          </w14:textFill>
        </w:rPr>
        <w:t>。夯实以广安门医院南区、区中西医结合医院为引领，以综合医院中医科为枢纽，以基层医疗机构为网底，融预防保健、疾病治疗和康复于一体的中医药服务体系。发挥中医药在急诊急救中的优势特色，以及在突发公共卫生事件中重大疾病防控中的作用，推动中医药急诊急救技术应用。继续发挥好中医药独特作用，进一步加强区级重点学科及妇幼全覆盖工程建设，做强骨伤、内分泌、儿科、妇科、心脑血管病等专科专病。全面落实《中医药法》《北京市中医药条例》</w:t>
      </w:r>
      <w:r>
        <w:rPr>
          <w:rFonts w:hint="eastAsia" w:ascii="仿宋_GB2312" w:hAnsi="宋体" w:eastAsia="仿宋_GB2312"/>
          <w:color w:val="000000" w:themeColor="text1"/>
          <w:sz w:val="32"/>
          <w:szCs w:val="32"/>
          <w:highlight w:val="none"/>
          <w:lang w:eastAsia="zh-CN"/>
          <w14:textFill>
            <w14:solidFill>
              <w14:schemeClr w14:val="tx1"/>
            </w14:solidFill>
          </w14:textFill>
        </w:rPr>
        <w:t>，以及</w:t>
      </w:r>
      <w:r>
        <w:rPr>
          <w:rFonts w:hint="default" w:ascii="仿宋_GB2312" w:hAnsi="宋体" w:eastAsia="仿宋_GB2312"/>
          <w:color w:val="000000" w:themeColor="text1"/>
          <w:sz w:val="32"/>
          <w:szCs w:val="32"/>
          <w:highlight w:val="none"/>
          <w14:textFill>
            <w14:solidFill>
              <w14:schemeClr w14:val="tx1"/>
            </w14:solidFill>
          </w14:textFill>
        </w:rPr>
        <w:t>基层中医药服务能力提升工程，充分发挥优质资源引领带动作用，探索紧密型中医医联体建设，筑牢基层中医药服务阵地。统筹做好乡村医生岗位中医药专题专项、中医适宜技术、“西学中”等中医药培训工作，打造一支高效、优质的中医药专业技术人才队伍。围绕中医治未病、基本公共卫生服务中医药健康管理等服务项目，推广体现中医治未病理念的健康工作和生活方式。强化区中西医结合医院康复医院辐射带动作用，提升基层中医康复能力，推广中医康复技术应用。</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val="0"/>
              <w:topLinePunct w:val="0"/>
              <w:bidi w:val="0"/>
              <w:spacing w:line="560" w:lineRule="exact"/>
              <w:ind w:firstLine="0" w:firstLineChars="0"/>
              <w:jc w:val="center"/>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lang w:eastAsia="zh-CN"/>
                <w14:textFill>
                  <w14:solidFill>
                    <w14:schemeClr w14:val="tx1"/>
                  </w14:solidFill>
                </w14:textFill>
              </w:rPr>
              <w:t>专栏</w:t>
            </w:r>
            <w:r>
              <w:rPr>
                <w:rFonts w:ascii="仿宋_GB2312" w:hAnsi="宋体" w:eastAsia="仿宋_GB2312"/>
                <w:b/>
                <w:bCs/>
                <w:color w:val="000000" w:themeColor="text1"/>
                <w:sz w:val="32"/>
                <w:szCs w:val="32"/>
                <w:highlight w:val="none"/>
                <w14:textFill>
                  <w14:solidFill>
                    <w14:schemeClr w14:val="tx1"/>
                  </w14:solidFill>
                </w14:textFill>
              </w:rPr>
              <w:t>8</w:t>
            </w:r>
            <w:r>
              <w:rPr>
                <w:rFonts w:hint="eastAsia" w:ascii="仿宋_GB2312" w:hAnsi="宋体" w:eastAsia="仿宋_GB2312"/>
                <w:b/>
                <w:bCs/>
                <w:color w:val="000000" w:themeColor="text1"/>
                <w:sz w:val="32"/>
                <w:szCs w:val="32"/>
                <w:highlight w:val="none"/>
                <w14:textFill>
                  <w14:solidFill>
                    <w14:schemeClr w14:val="tx1"/>
                  </w14:solidFill>
                </w14:textFill>
              </w:rPr>
              <w:t xml:space="preserve">  大兴区中医药传承创新发展工程</w:t>
            </w:r>
          </w:p>
          <w:p>
            <w:pPr>
              <w:keepNext w:val="0"/>
              <w:keepLines w:val="0"/>
              <w:pageBreakBefore w:val="0"/>
              <w:kinsoku/>
              <w:wordWrap/>
              <w:overflowPunct w:val="0"/>
              <w:topLinePunct w:val="0"/>
              <w:bidi w:val="0"/>
              <w:spacing w:line="560" w:lineRule="exact"/>
              <w:ind w:firstLine="640"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继续深化北京市“名中医身边工程”等市级专家出诊带教机制，推进“大兴区中医专家学术经验继承工作室”建设，为区域尤其是基层培养一批中医专业骨干人才，引领带动区域中医药服务能力提升。加强广安门医院南区北京市中医类别全科医师规范化培训基地、西红门医院基层实践基地建设，提高区中西医结合医院教学能力水平。完善中医医疗机构和社区卫生服务机构联系机制，持续推动建设中医药健康文化体验馆。推动每个社区卫生服务机构建设中医药专病专症门诊，力争在每个社区卫生服务中心中医馆设置一个名医工作室分站。普及推广基层中医治未病和中医养生保健，力争实现治未病服务在社区卫生服务中心全覆盖。</w:t>
            </w:r>
          </w:p>
        </w:tc>
      </w:tr>
    </w:tbl>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outlineLvl w:val="2"/>
        <w:rPr>
          <w:rFonts w:ascii="楷体_GB2312" w:hAnsi="楷体_GB2312" w:eastAsia="楷体_GB2312" w:cs="楷体_GB2312"/>
          <w:color w:val="000000" w:themeColor="text1"/>
          <w:sz w:val="32"/>
          <w:szCs w:val="32"/>
          <w:highlight w:val="none"/>
          <w14:textFill>
            <w14:solidFill>
              <w14:schemeClr w14:val="tx1"/>
            </w14:solidFill>
          </w14:textFill>
        </w:rPr>
      </w:pPr>
      <w:bookmarkStart w:id="77" w:name="_Toc90318432"/>
      <w:bookmarkStart w:id="78" w:name="_Toc1834"/>
      <w:bookmarkStart w:id="79" w:name="_Toc24168"/>
      <w:bookmarkStart w:id="80" w:name="_Toc8479"/>
      <w:r>
        <w:rPr>
          <w:rFonts w:hint="default" w:ascii="楷体_GB2312" w:hAnsi="楷体_GB2312" w:eastAsia="楷体_GB2312" w:cs="楷体_GB2312"/>
          <w:color w:val="000000" w:themeColor="text1"/>
          <w:sz w:val="32"/>
          <w:szCs w:val="32"/>
          <w:highlight w:val="none"/>
          <w14:textFill>
            <w14:solidFill>
              <w14:schemeClr w14:val="tx1"/>
            </w14:solidFill>
          </w14:textFill>
        </w:rPr>
        <w:t>（五）以创新服务模式为目标发展“智慧医疗”</w:t>
      </w:r>
      <w:bookmarkEnd w:id="77"/>
      <w:bookmarkEnd w:id="78"/>
      <w:bookmarkEnd w:id="79"/>
    </w:p>
    <w:p>
      <w:pPr>
        <w:keepNext w:val="0"/>
        <w:keepLines w:val="0"/>
        <w:pageBreakBefore w:val="0"/>
        <w:numPr>
          <w:ilvl w:val="-1"/>
          <w:numId w:val="0"/>
        </w:numPr>
        <w:pBdr>
          <w:bottom w:val="none" w:color="auto" w:sz="0" w:space="0"/>
        </w:pBdr>
        <w:kinsoku/>
        <w:wordWrap/>
        <w:topLinePunct w:val="0"/>
        <w:bidi w:val="0"/>
        <w:adjustRightInd/>
        <w:snapToGrid/>
        <w:spacing w:line="560" w:lineRule="exact"/>
        <w:ind w:firstLine="640" w:firstLineChars="200"/>
        <w:outlineLvl w:val="9"/>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基于互联网、云计算、大数据、人工智能等新型基础设施建设核心技术，拓宽医疗卫生应用场景，加强智慧医疗服务、智能健康管理、智慧公共卫生等领域应用，实现线上线下融合，加速提升医疗效率与医疗质量，推动医疗健康服务模式创新。落实国家“互联网＋医疗健康”指导意见，探索建立互联网线上医疗服务模式，优化服务流程，提高服务效率，改善百姓就医体验。完善健康医疗大数据平台，加大对卫生健康数据采集、治理、挖掘的深度和力度，提高数据有效使用，提供实时应用、智能推送等新型健康医疗信息服务。进一步完善卫生健康信息安全基础性工作、基础设施建设和管理制度，确保网络安全与数据安全。</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val="0"/>
              <w:topLinePunct w:val="0"/>
              <w:bidi w:val="0"/>
              <w:spacing w:line="560" w:lineRule="exact"/>
              <w:ind w:firstLine="0" w:firstLineChars="0"/>
              <w:jc w:val="center"/>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专栏</w:t>
            </w:r>
            <w:r>
              <w:rPr>
                <w:rFonts w:ascii="仿宋_GB2312" w:hAnsi="仿宋_GB2312" w:eastAsia="仿宋_GB2312" w:cs="仿宋_GB2312"/>
                <w:b/>
                <w:bCs/>
                <w:color w:val="000000" w:themeColor="text1"/>
                <w:sz w:val="32"/>
                <w:szCs w:val="32"/>
                <w:highlight w:val="none"/>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推进“智慧医疗”升级改造工程</w:t>
            </w:r>
          </w:p>
          <w:p>
            <w:pPr>
              <w:keepNext w:val="0"/>
              <w:keepLines w:val="0"/>
              <w:pageBreakBefore w:val="0"/>
              <w:kinsoku/>
              <w:wordWrap/>
              <w:overflowPunct w:val="0"/>
              <w:topLinePunct w:val="0"/>
              <w:bidi w:val="0"/>
              <w:spacing w:line="560" w:lineRule="exact"/>
              <w:ind w:firstLine="640"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面落地“互联网+”健康医疗战略与医疗卫生规划，以大兴区人口健康信息平台前期建设成效为基础，按照国家医疗健康信息互联互通标准化成熟度测评五级乙等水平推动建设区域全民健康信息化平台，实现区域全民健康信息共享和业务协同，逐渐实现健康医疗基础数据和公共信息资源的聚集整合。</w:t>
            </w:r>
            <w:r>
              <w:rPr>
                <w:rFonts w:hint="eastAsia" w:ascii="仿宋_GB2312" w:hAnsi="宋体" w:eastAsia="仿宋_GB2312"/>
                <w:color w:val="000000" w:themeColor="text1"/>
                <w:sz w:val="32"/>
                <w:szCs w:val="32"/>
                <w:highlight w:val="none"/>
                <w14:textFill>
                  <w14:solidFill>
                    <w14:schemeClr w14:val="tx1"/>
                  </w14:solidFill>
                </w14:textFill>
              </w:rPr>
              <w:t>进一步完善“健康大兴”APP，充分体现“智慧医疗”的便捷性，构建以智能便民、惠民服务于一体的“健康服务门户”，推进</w:t>
            </w:r>
            <w:r>
              <w:rPr>
                <w:rFonts w:hint="eastAsia" w:ascii="仿宋_GB2312" w:hAnsi="仿宋_GB2312" w:eastAsia="仿宋_GB2312" w:cs="仿宋_GB2312"/>
                <w:bCs/>
                <w:color w:val="000000" w:themeColor="text1"/>
                <w:sz w:val="32"/>
                <w:szCs w:val="32"/>
                <w:highlight w:val="none"/>
                <w:shd w:val="clear" w:color="auto" w:fill="FFFFFF"/>
                <w14:textFill>
                  <w14:solidFill>
                    <w14:schemeClr w14:val="tx1"/>
                  </w14:solidFill>
                </w14:textFill>
              </w:rPr>
              <w:t>应用功能通过区公共服务平台接入“北京大兴”APP，并同步接入“北京通”</w:t>
            </w:r>
            <w:r>
              <w:rPr>
                <w:rFonts w:hint="eastAsia" w:ascii="仿宋_GB2312" w:hAnsi="宋体" w:eastAsia="仿宋_GB2312"/>
                <w:color w:val="000000" w:themeColor="text1"/>
                <w:sz w:val="32"/>
                <w:szCs w:val="32"/>
                <w:highlight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14:textFill>
                  <w14:solidFill>
                    <w14:schemeClr w14:val="tx1"/>
                  </w14:solidFill>
                </w14:textFill>
              </w:rPr>
              <w:t>国家医疗健康互联互通测评、电子病历应用水平分级评价等工作为引领，</w:t>
            </w:r>
            <w:r>
              <w:rPr>
                <w:rFonts w:hint="eastAsia" w:ascii="仿宋_GB2312" w:hAnsi="宋体" w:eastAsia="仿宋_GB2312"/>
                <w:color w:val="000000" w:themeColor="text1"/>
                <w:sz w:val="32"/>
                <w:szCs w:val="32"/>
                <w:highlight w:val="none"/>
                <w14:textFill>
                  <w14:solidFill>
                    <w14:schemeClr w14:val="tx1"/>
                  </w14:solidFill>
                </w14:textFill>
              </w:rPr>
              <w:t>进一步推进以电子病历为核心的医疗机构信息化建设工作，实现智慧医疗、智慧服务和智慧管理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强化公共卫生信息协同应用，在传染病疫情监测、密切接触者管理等方面发挥数据支撑作用。</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根据区域发展及卫生健康实际情况，加强与公安、医保、经信等部门的健康数据共享。</w:t>
            </w:r>
          </w:p>
        </w:tc>
      </w:tr>
    </w:tbl>
    <w:p>
      <w:pPr>
        <w:keepNext w:val="0"/>
        <w:keepLines w:val="0"/>
        <w:pageBreakBefore w:val="0"/>
        <w:kinsoku/>
        <w:wordWrap/>
        <w:topLinePunct w:val="0"/>
        <w:bidi w:val="0"/>
        <w:spacing w:before="0" w:after="0" w:line="560" w:lineRule="exact"/>
        <w:ind w:firstLine="640" w:firstLineChars="200"/>
        <w:outlineLvl w:val="1"/>
        <w:rPr>
          <w:rFonts w:hint="eastAsia"/>
          <w:b w:val="0"/>
          <w:color w:val="000000" w:themeColor="text1"/>
          <w:sz w:val="32"/>
          <w:szCs w:val="32"/>
          <w:highlight w:val="none"/>
          <w14:textFill>
            <w14:solidFill>
              <w14:schemeClr w14:val="tx1"/>
            </w14:solidFill>
          </w14:textFill>
        </w:rPr>
      </w:pPr>
      <w:bookmarkStart w:id="81" w:name="_Toc1346"/>
      <w:bookmarkStart w:id="82" w:name="_Toc4679"/>
      <w:r>
        <w:rPr>
          <w:rFonts w:hint="eastAsia" w:ascii="黑体" w:hAnsi="黑体" w:eastAsia="黑体" w:cs="黑体"/>
          <w:color w:val="000000" w:themeColor="text1"/>
          <w:sz w:val="32"/>
          <w:szCs w:val="32"/>
          <w:highlight w:val="none"/>
          <w:lang w:eastAsia="zh-CN"/>
          <w14:textFill>
            <w14:solidFill>
              <w14:schemeClr w14:val="tx1"/>
            </w14:solidFill>
          </w14:textFill>
        </w:rPr>
        <w:t>三、</w:t>
      </w:r>
      <w:bookmarkEnd w:id="81"/>
      <w:bookmarkStart w:id="83" w:name="_Toc90318433"/>
      <w:bookmarkStart w:id="84" w:name="_Toc14005"/>
      <w:r>
        <w:rPr>
          <w:rFonts w:hint="eastAsia" w:ascii="黑体" w:hAnsi="黑体" w:eastAsia="黑体" w:cs="黑体"/>
          <w:b w:val="0"/>
          <w:color w:val="000000" w:themeColor="text1"/>
          <w:sz w:val="32"/>
          <w:szCs w:val="32"/>
          <w:highlight w:val="none"/>
          <w14:textFill>
            <w14:solidFill>
              <w14:schemeClr w14:val="tx1"/>
            </w14:solidFill>
          </w14:textFill>
        </w:rPr>
        <w:t>营造宜居的健康环境</w:t>
      </w:r>
      <w:bookmarkEnd w:id="82"/>
      <w:bookmarkEnd w:id="83"/>
      <w:bookmarkEnd w:id="84"/>
    </w:p>
    <w:p>
      <w:pPr>
        <w:pStyle w:val="5"/>
        <w:keepNext w:val="0"/>
        <w:keepLines w:val="0"/>
        <w:pageBreakBefore w:val="0"/>
        <w:kinsoku/>
        <w:wordWrap/>
        <w:topLinePunct w:val="0"/>
        <w:bidi w:val="0"/>
        <w:spacing w:before="0" w:after="0" w:line="560" w:lineRule="exact"/>
        <w:ind w:firstLine="643" w:firstLineChars="200"/>
        <w:rPr>
          <w:rFonts w:hint="eastAsia" w:ascii="楷体_GB2312" w:hAnsi="楷体_GB2312" w:eastAsia="楷体_GB2312" w:cs="楷体_GB2312"/>
          <w:b w:val="0"/>
          <w:bCs w:val="0"/>
          <w:color w:val="000000" w:themeColor="text1"/>
          <w:highlight w:val="none"/>
          <w14:textFill>
            <w14:solidFill>
              <w14:schemeClr w14:val="tx1"/>
            </w14:solidFill>
          </w14:textFill>
        </w:rPr>
      </w:pPr>
      <w:bookmarkStart w:id="85" w:name="_Toc27946"/>
      <w:bookmarkStart w:id="86" w:name="_Toc21717"/>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w:t>
      </w:r>
      <w:bookmarkEnd w:id="85"/>
      <w:bookmarkStart w:id="87" w:name="_Toc31951"/>
      <w:bookmarkStart w:id="88" w:name="_Toc90318434"/>
      <w:r>
        <w:rPr>
          <w:rFonts w:hint="eastAsia" w:ascii="楷体_GB2312" w:hAnsi="楷体_GB2312" w:eastAsia="楷体_GB2312" w:cs="楷体_GB2312"/>
          <w:b w:val="0"/>
          <w:bCs w:val="0"/>
          <w:color w:val="000000" w:themeColor="text1"/>
          <w:highlight w:val="none"/>
          <w14:textFill>
            <w14:solidFill>
              <w14:schemeClr w14:val="tx1"/>
            </w14:solidFill>
          </w14:textFill>
        </w:rPr>
        <w:t>营造健康人居环境</w:t>
      </w:r>
      <w:bookmarkEnd w:id="86"/>
      <w:bookmarkEnd w:id="87"/>
      <w:bookmarkEnd w:id="88"/>
    </w:p>
    <w:p>
      <w:pPr>
        <w:keepNext w:val="0"/>
        <w:keepLines w:val="0"/>
        <w:pageBreakBefore w:val="0"/>
        <w:kinsoku/>
        <w:wordWrap/>
        <w:topLinePunct w:val="0"/>
        <w:bidi w:val="0"/>
        <w:spacing w:line="560" w:lineRule="exact"/>
        <w:ind w:firstLine="640" w:firstLineChars="200"/>
        <w:rPr>
          <w:rFonts w:hint="eastAsia" w:ascii="仿宋_GB2312" w:hAnsi="宋体" w:eastAsia="仿宋_GB2312" w:cstheme="minorBidi"/>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落实新时代爱国卫生运动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病媒生物防制，集中整治各类公共卫生突出问题，进一步改善公共卫生条件。建立长效机制，将爱国卫生运动与维护群众健康权益紧密结合，全力推动爱国卫生运动，普及健康知识，倡导健康文明生活方式，提升居民健康素养。启动创建“全国健康促进区”工作。加大城乡环境卫生整洁力度，做好垃圾分类和源头减量，提升城乡市容环境质量。深入落实《北京市控制吸烟条例》，打造健康文明的无烟环境。积极开展国家卫生区创建，</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2023年达到国家卫生区标准</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2024年成功创建国家卫生区。</w:t>
      </w:r>
      <w:r>
        <w:rPr>
          <w:rFonts w:hint="eastAsia" w:ascii="仿宋_GB2312" w:hAnsi="仿宋_GB2312" w:eastAsia="仿宋_GB2312" w:cs="仿宋_GB2312"/>
          <w:color w:val="000000" w:themeColor="text1"/>
          <w:sz w:val="32"/>
          <w:szCs w:val="32"/>
          <w:highlight w:val="none"/>
          <w14:textFill>
            <w14:solidFill>
              <w14:schemeClr w14:val="tx1"/>
            </w14:solidFill>
          </w14:textFill>
        </w:rPr>
        <w:t>同步加强北京市卫生街道和国家卫生镇创建，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2022年实现北京市卫生街道全覆盖，国家卫生镇创建比例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达到市级目标要求。</w:t>
      </w:r>
    </w:p>
    <w:p>
      <w:pPr>
        <w:keepNext w:val="0"/>
        <w:keepLines w:val="0"/>
        <w:pageBreakBefore w:val="0"/>
        <w:numPr>
          <w:ilvl w:val="-1"/>
          <w:numId w:val="0"/>
        </w:numPr>
        <w:kinsoku/>
        <w:wordWrap/>
        <w:topLinePunct w:val="0"/>
        <w:bidi w:val="0"/>
        <w:adjustRightInd w:val="0"/>
        <w:snapToGrid w:val="0"/>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89" w:name="_Toc14977"/>
      <w:bookmarkStart w:id="90" w:name="_Toc2140"/>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w:t>
      </w:r>
      <w:bookmarkEnd w:id="89"/>
      <w:bookmarkStart w:id="91" w:name="_Toc27261"/>
      <w:bookmarkStart w:id="92" w:name="_Toc90318435"/>
      <w:r>
        <w:rPr>
          <w:rFonts w:hint="eastAsia" w:ascii="楷体_GB2312" w:hAnsi="楷体_GB2312" w:eastAsia="楷体_GB2312" w:cs="楷体_GB2312"/>
          <w:color w:val="000000" w:themeColor="text1"/>
          <w:sz w:val="32"/>
          <w:szCs w:val="32"/>
          <w:highlight w:val="none"/>
          <w14:textFill>
            <w14:solidFill>
              <w14:schemeClr w14:val="tx1"/>
            </w14:solidFill>
          </w14:textFill>
        </w:rPr>
        <w:t>持续改善自然生态环境</w:t>
      </w:r>
      <w:bookmarkEnd w:id="90"/>
      <w:bookmarkEnd w:id="91"/>
      <w:bookmarkEnd w:id="92"/>
    </w:p>
    <w:p>
      <w:pPr>
        <w:keepNext w:val="0"/>
        <w:keepLines w:val="0"/>
        <w:pageBreakBefore w:val="0"/>
        <w:kinsoku/>
        <w:wordWrap/>
        <w:topLinePunct w:val="0"/>
        <w:bidi w:val="0"/>
        <w:spacing w:after="0" w:line="56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改善大气环境质量。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大气污染防治攻坚，坚持“一微克”行动，突出精准治污、科学治污、依法治污，以治理挥发性有机物和氮氧化物为抓手，聚焦机动车、生产生活、扬尘等重点领域，协同控制细颗粒和臭氧污染，推动大气环境质量持续改善。</w:t>
      </w:r>
    </w:p>
    <w:p>
      <w:pPr>
        <w:keepNext w:val="0"/>
        <w:keepLines w:val="0"/>
        <w:pageBreakBefore w:val="0"/>
        <w:kinsoku/>
        <w:wordWrap/>
        <w:topLinePunct w:val="0"/>
        <w:bidi w:val="0"/>
        <w:spacing w:after="0" w:line="56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提高水生态环境质量。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坚持源头减排和生态扩容并重，完善管理措施与体制，加强水资源、水环境、水生态统筹治理。建设完善的污水收集与处理系统，重点扩大污水管网及污水厂的覆盖范围，全面推进农村治污。进一步推进流域综合治理，有效改善水生态系统功能，基本实现“有河有水、有鱼有草、人水和谐”的目标。</w:t>
      </w:r>
    </w:p>
    <w:p>
      <w:pPr>
        <w:keepNext w:val="0"/>
        <w:keepLines w:val="0"/>
        <w:pageBreakBefore w:val="0"/>
        <w:kinsoku/>
        <w:wordWrap/>
        <w:topLinePunct w:val="0"/>
        <w:bidi w:val="0"/>
        <w:spacing w:after="0" w:line="56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提升全区生态质量。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山水林田湖草系统保护的要求，落实北京市生态保护相关制度，以“生态质量提升”为核心，优化生态空间格局，强化重要生态空间管控，加强生物多样性保护，提升生态监管能力。到2025年，绿色、生态首都“新国门·新大兴”建设取得重大进展，生态环境质量持续向好，绿色低碳发展水平进一步提高，人们对良好生态环境的获得感显著增强，全区生态文明建设水平显著提高，推动国家生态文明建设示范区创建。到2025年，大兴区公园绿地500米服务半径覆盖率达到94.36%，进一步构建城南生态屏障。</w:t>
      </w:r>
    </w:p>
    <w:p>
      <w:pPr>
        <w:keepNext w:val="0"/>
        <w:keepLines w:val="0"/>
        <w:pageBreakBefore w:val="0"/>
        <w:kinsoku/>
        <w:wordWrap/>
        <w:topLinePunct w:val="0"/>
        <w:bidi w:val="0"/>
        <w:adjustRightInd w:val="0"/>
        <w:snapToGrid w:val="0"/>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93" w:name="_Toc21119"/>
      <w:bookmarkStart w:id="94" w:name="_Toc31520"/>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w:t>
      </w:r>
      <w:bookmarkEnd w:id="93"/>
      <w:bookmarkStart w:id="95" w:name="_Toc90318436"/>
      <w:bookmarkStart w:id="96" w:name="_Toc22790"/>
      <w:r>
        <w:rPr>
          <w:rFonts w:hint="eastAsia" w:ascii="楷体_GB2312" w:hAnsi="楷体_GB2312" w:eastAsia="楷体_GB2312" w:cs="楷体_GB2312"/>
          <w:color w:val="000000" w:themeColor="text1"/>
          <w:sz w:val="32"/>
          <w:szCs w:val="32"/>
          <w:highlight w:val="none"/>
          <w14:textFill>
            <w14:solidFill>
              <w14:schemeClr w14:val="tx1"/>
            </w14:solidFill>
          </w14:textFill>
        </w:rPr>
        <w:t>维护交通安全环境</w:t>
      </w:r>
      <w:bookmarkEnd w:id="94"/>
      <w:bookmarkEnd w:id="95"/>
      <w:bookmarkEnd w:id="96"/>
    </w:p>
    <w:p>
      <w:pPr>
        <w:keepNext w:val="0"/>
        <w:keepLines w:val="0"/>
        <w:pageBreakBefore w:val="0"/>
        <w:kinsoku/>
        <w:wordWrap/>
        <w:topLinePunct w:val="0"/>
        <w:bidi w:val="0"/>
        <w:spacing w:line="560" w:lineRule="exact"/>
        <w:ind w:firstLine="640" w:firstLineChars="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维护</w:t>
      </w:r>
      <w:r>
        <w:rPr>
          <w:rFonts w:hint="default" w:ascii="仿宋_GB2312" w:hAnsi="仿宋_GB2312" w:eastAsia="仿宋_GB2312" w:cs="仿宋_GB2312"/>
          <w:color w:val="000000" w:themeColor="text1"/>
          <w:sz w:val="32"/>
          <w:szCs w:val="32"/>
          <w:highlight w:val="none"/>
          <w14:textFill>
            <w14:solidFill>
              <w14:schemeClr w14:val="tx1"/>
            </w14:solidFill>
          </w14:textFill>
        </w:rPr>
        <w:t>安全、环保、健康的交通生态。完善道路安全设施，强化交通安全监管和治理，倡导文明出行、控制车速、减速慢行。以绿色交通方式主导，建立便捷的交通系统。落实公交优先政策，进一步优化交通出行结构，合理利用城市交通资源，优先发展集约型公共交通系统。做实做细做好大兴机场外围交通保障工作，统筹各类公交资源的利用，调整优化全区公交线路。积极引导辖区境内公交客运企业购置具备无障碍设施的新车辆，完善无障碍交通设施。</w:t>
      </w:r>
    </w:p>
    <w:p>
      <w:pPr>
        <w:keepNext w:val="0"/>
        <w:keepLines w:val="0"/>
        <w:pageBreakBefore w:val="0"/>
        <w:kinsoku/>
        <w:wordWrap/>
        <w:topLinePunct w:val="0"/>
        <w:bidi w:val="0"/>
        <w:adjustRightInd w:val="0"/>
        <w:snapToGrid w:val="0"/>
        <w:spacing w:line="560" w:lineRule="exact"/>
        <w:ind w:firstLine="640" w:firstLineChars="0"/>
        <w:outlineLvl w:val="2"/>
        <w:rPr>
          <w:rFonts w:hint="default" w:ascii="楷体_GB2312" w:hAnsi="楷体_GB2312" w:eastAsia="楷体_GB2312" w:cs="楷体_GB2312"/>
          <w:color w:val="000000" w:themeColor="text1"/>
          <w:sz w:val="32"/>
          <w:szCs w:val="32"/>
          <w:highlight w:val="none"/>
          <w14:textFill>
            <w14:solidFill>
              <w14:schemeClr w14:val="tx1"/>
            </w14:solidFill>
          </w14:textFill>
        </w:rPr>
      </w:pPr>
      <w:bookmarkStart w:id="97" w:name="_Toc22142"/>
      <w:bookmarkStart w:id="98" w:name="_Toc15871"/>
      <w:r>
        <w:rPr>
          <w:rFonts w:hint="default" w:ascii="楷体_GB2312" w:hAnsi="楷体_GB2312" w:eastAsia="楷体_GB2312" w:cs="楷体_GB2312"/>
          <w:color w:val="000000" w:themeColor="text1"/>
          <w:sz w:val="32"/>
          <w:szCs w:val="32"/>
          <w:highlight w:val="none"/>
          <w14:textFill>
            <w14:solidFill>
              <w14:schemeClr w14:val="tx1"/>
            </w14:solidFill>
          </w14:textFill>
        </w:rPr>
        <w:t>（四）优化学校健康环境</w:t>
      </w:r>
      <w:bookmarkEnd w:id="97"/>
      <w:bookmarkEnd w:id="98"/>
    </w:p>
    <w:p>
      <w:pPr>
        <w:keepNext w:val="0"/>
        <w:keepLines w:val="0"/>
        <w:pageBreakBefore w:val="0"/>
        <w:kinsoku/>
        <w:wordWrap/>
        <w:topLinePunct w:val="0"/>
        <w:bidi w:val="0"/>
        <w:spacing w:line="560" w:lineRule="exact"/>
        <w:ind w:firstLine="640" w:firstLineChars="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落实《大兴区儿童青少年近视防控工作方案》，努力保障中小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学</w:t>
      </w:r>
      <w:r>
        <w:rPr>
          <w:rFonts w:hint="eastAsia" w:ascii="仿宋_GB2312" w:hAnsi="仿宋_GB2312" w:eastAsia="仿宋_GB2312" w:cs="仿宋_GB2312"/>
          <w:color w:val="000000" w:themeColor="text1"/>
          <w:sz w:val="32"/>
          <w:szCs w:val="32"/>
          <w:highlight w:val="none"/>
          <w14:textFill>
            <w14:solidFill>
              <w14:schemeClr w14:val="tx1"/>
            </w14:solidFill>
          </w14:textFill>
        </w:rPr>
        <w:t>校园教育设施和条件（教室采光与照明，课桌椅装备、黑板等）符合国家相关文件和规范要求，为学生提供符合用眼卫生要求和有利于生长发育的学习环境。进一步创建“健康促进校”“健康食堂”工作，加强校内外供餐和饮用水管理，让每一个学生都能吃上安全营养的“暖心饭”，喝上安全洁净的“放心水”。加强幼儿园保健室、中小学卫生保健所建设和保健医、校医配备，配足配齐卫生专业技术人员。建立长效机制，将爱国卫生运动与儿童青少年健康权益紧密结合，深入开展新时代校园爱国卫生运动，普及健康知识，倡导健康文明生活方式，提升儿童青少年的健康素养，改进校园环境卫生。</w:t>
      </w:r>
    </w:p>
    <w:p>
      <w:pPr>
        <w:keepNext w:val="0"/>
        <w:keepLines w:val="0"/>
        <w:pageBreakBefore w:val="0"/>
        <w:kinsoku/>
        <w:wordWrap/>
        <w:topLinePunct w:val="0"/>
        <w:bidi w:val="0"/>
        <w:adjustRightInd w:val="0"/>
        <w:snapToGrid w:val="0"/>
        <w:spacing w:line="560" w:lineRule="exact"/>
        <w:ind w:firstLine="640" w:firstLineChars="0"/>
        <w:outlineLvl w:val="2"/>
        <w:rPr>
          <w:rFonts w:hint="default" w:ascii="楷体_GB2312" w:hAnsi="楷体_GB2312" w:eastAsia="楷体_GB2312" w:cs="楷体_GB2312"/>
          <w:color w:val="000000" w:themeColor="text1"/>
          <w:sz w:val="32"/>
          <w:szCs w:val="32"/>
          <w:highlight w:val="none"/>
          <w14:textFill>
            <w14:solidFill>
              <w14:schemeClr w14:val="tx1"/>
            </w14:solidFill>
          </w14:textFill>
        </w:rPr>
      </w:pPr>
      <w:bookmarkStart w:id="99" w:name="_Toc6736"/>
      <w:bookmarkStart w:id="100" w:name="_Toc1244"/>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五</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优化全民健身环境</w:t>
      </w:r>
      <w:bookmarkEnd w:id="99"/>
      <w:bookmarkEnd w:id="100"/>
    </w:p>
    <w:p>
      <w:pPr>
        <w:keepNext w:val="0"/>
        <w:keepLines w:val="0"/>
        <w:pageBreakBefore w:val="0"/>
        <w:kinsoku/>
        <w:wordWrap/>
        <w:topLinePunct w:val="0"/>
        <w:bidi w:val="0"/>
        <w:spacing w:line="560" w:lineRule="exact"/>
        <w:ind w:firstLine="640" w:firstLineChars="0"/>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stheme="minorBidi"/>
          <w:color w:val="000000" w:themeColor="text1"/>
          <w:sz w:val="32"/>
          <w:szCs w:val="32"/>
          <w:highlight w:val="none"/>
          <w14:textFill>
            <w14:solidFill>
              <w14:schemeClr w14:val="tx1"/>
            </w14:solidFill>
          </w14:textFill>
        </w:rPr>
        <w:t>严格落实相关规范要求，完善体育设施建设、管理、服务机制，研究制定体育设施科学配置、日常巡查、更新维护、信息化管理服务等标准。鼓励有条件的体育场馆搭建智慧场馆管理平台，丰富智慧体育设施，通过试点带动全区打造智慧健身公园、智慧体育馆、智慧健身步道等</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w:t>
      </w:r>
      <w:r>
        <w:rPr>
          <w:rFonts w:hint="eastAsia" w:ascii="仿宋_GB2312" w:hAnsi="宋体" w:eastAsia="仿宋_GB2312" w:cstheme="minorBidi"/>
          <w:color w:val="000000" w:themeColor="text1"/>
          <w:sz w:val="32"/>
          <w:szCs w:val="32"/>
          <w:highlight w:val="none"/>
          <w:lang w:val="en-US" w:eastAsia="zh-CN"/>
          <w14:textFill>
            <w14:solidFill>
              <w14:schemeClr w14:val="tx1"/>
            </w14:solidFill>
          </w14:textFill>
        </w:rPr>
        <w:t>全面提升居民健身的硬环境</w:t>
      </w:r>
      <w:r>
        <w:rPr>
          <w:rFonts w:hint="eastAsia" w:ascii="仿宋_GB2312" w:hAnsi="宋体" w:eastAsia="仿宋_GB2312" w:cstheme="minorBidi"/>
          <w:color w:val="000000" w:themeColor="text1"/>
          <w:sz w:val="32"/>
          <w:szCs w:val="32"/>
          <w:highlight w:val="none"/>
          <w14:textFill>
            <w14:solidFill>
              <w14:schemeClr w14:val="tx1"/>
            </w14:solidFill>
          </w14:textFill>
        </w:rPr>
        <w:t>。</w:t>
      </w:r>
      <w:r>
        <w:rPr>
          <w:rFonts w:hint="eastAsia" w:ascii="仿宋_GB2312" w:hAnsi="宋体" w:eastAsia="仿宋_GB2312" w:cstheme="minorBidi"/>
          <w:color w:val="000000" w:themeColor="text1"/>
          <w:sz w:val="32"/>
          <w:szCs w:val="32"/>
          <w:highlight w:val="none"/>
          <w:lang w:val="en-US" w:eastAsia="zh-CN"/>
          <w14:textFill>
            <w14:solidFill>
              <w14:schemeClr w14:val="tx1"/>
            </w14:solidFill>
          </w14:textFill>
        </w:rPr>
        <w:t>提高</w:t>
      </w:r>
      <w:r>
        <w:rPr>
          <w:rFonts w:hint="eastAsia" w:ascii="仿宋_GB2312" w:hAnsi="宋体" w:eastAsia="仿宋_GB2312" w:cstheme="minorBidi"/>
          <w:color w:val="000000" w:themeColor="text1"/>
          <w:sz w:val="32"/>
          <w:szCs w:val="32"/>
          <w:highlight w:val="none"/>
          <w14:textFill>
            <w14:solidFill>
              <w14:schemeClr w14:val="tx1"/>
            </w14:solidFill>
          </w14:textFill>
        </w:rPr>
        <w:t>全民健身科学指导水平，鼓励优秀退役运动员、教练员等体育专业人才参加健身科普活动，提高科学健身指导的专业性、权威性。让更多群众了解和掌握必备健康知识，科学有效参与健身活动，推动健康关口前移</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w:t>
      </w:r>
      <w:r>
        <w:rPr>
          <w:rFonts w:hint="eastAsia" w:ascii="仿宋_GB2312" w:hAnsi="宋体" w:eastAsia="仿宋_GB2312" w:cstheme="minorBidi"/>
          <w:color w:val="000000" w:themeColor="text1"/>
          <w:sz w:val="32"/>
          <w:szCs w:val="32"/>
          <w:highlight w:val="none"/>
          <w:lang w:val="en-US" w:eastAsia="zh-CN"/>
          <w14:textFill>
            <w14:solidFill>
              <w14:schemeClr w14:val="tx1"/>
            </w14:solidFill>
          </w14:textFill>
        </w:rPr>
        <w:t>全面提升居民健身的软环境</w:t>
      </w:r>
      <w:r>
        <w:rPr>
          <w:rFonts w:hint="eastAsia" w:ascii="仿宋_GB2312" w:hAnsi="宋体" w:eastAsia="仿宋_GB2312" w:cstheme="minorBidi"/>
          <w:color w:val="000000" w:themeColor="text1"/>
          <w:sz w:val="32"/>
          <w:szCs w:val="32"/>
          <w:highlight w:val="none"/>
          <w14:textFill>
            <w14:solidFill>
              <w14:schemeClr w14:val="tx1"/>
            </w14:solidFill>
          </w14:textFill>
        </w:rPr>
        <w:t>。加强宣传引导，大力推广及表彰奖励基层全民健身典型人物和单位，发挥其示范效应，营造全民健身浓厚社会氛围。</w:t>
      </w:r>
    </w:p>
    <w:p>
      <w:pPr>
        <w:keepNext w:val="0"/>
        <w:keepLines w:val="0"/>
        <w:pageBreakBefore w:val="0"/>
        <w:numPr>
          <w:ilvl w:val="0"/>
          <w:numId w:val="0"/>
        </w:numPr>
        <w:pBdr>
          <w:bottom w:val="none" w:color="auto" w:sz="0" w:space="0"/>
        </w:pBdr>
        <w:kinsoku/>
        <w:wordWrap/>
        <w:topLinePunct w:val="0"/>
        <w:bidi w:val="0"/>
        <w:spacing w:line="560" w:lineRule="exact"/>
        <w:ind w:firstLine="640" w:firstLineChars="200"/>
        <w:outlineLvl w:val="1"/>
        <w:rPr>
          <w:rFonts w:hint="default" w:ascii="黑体" w:hAnsi="黑体" w:eastAsia="黑体" w:cs="黑体"/>
          <w:b w:val="0"/>
          <w:color w:val="000000" w:themeColor="text1"/>
          <w:sz w:val="32"/>
          <w:szCs w:val="32"/>
          <w:highlight w:val="none"/>
          <w14:textFill>
            <w14:solidFill>
              <w14:schemeClr w14:val="tx1"/>
            </w14:solidFill>
          </w14:textFill>
        </w:rPr>
      </w:pPr>
      <w:bookmarkStart w:id="101" w:name="_Toc14240"/>
      <w:bookmarkStart w:id="102" w:name="_Toc29505"/>
      <w:r>
        <w:rPr>
          <w:rFonts w:hint="eastAsia" w:ascii="黑体" w:hAnsi="黑体" w:eastAsia="黑体" w:cs="黑体"/>
          <w:color w:val="000000" w:themeColor="text1"/>
          <w:sz w:val="32"/>
          <w:szCs w:val="32"/>
          <w:highlight w:val="none"/>
          <w:lang w:eastAsia="zh-CN"/>
          <w14:textFill>
            <w14:solidFill>
              <w14:schemeClr w14:val="tx1"/>
            </w14:solidFill>
          </w14:textFill>
        </w:rPr>
        <w:t>四、</w:t>
      </w:r>
      <w:bookmarkEnd w:id="101"/>
      <w:bookmarkStart w:id="103" w:name="_Toc3889"/>
      <w:bookmarkStart w:id="104" w:name="_Toc90318437"/>
      <w:r>
        <w:rPr>
          <w:rFonts w:hint="default" w:ascii="黑体" w:hAnsi="黑体" w:eastAsia="黑体" w:cs="黑体"/>
          <w:b w:val="0"/>
          <w:color w:val="000000" w:themeColor="text1"/>
          <w:sz w:val="32"/>
          <w:szCs w:val="32"/>
          <w:highlight w:val="none"/>
          <w14:textFill>
            <w14:solidFill>
              <w14:schemeClr w14:val="tx1"/>
            </w14:solidFill>
          </w14:textFill>
        </w:rPr>
        <w:t>全面开展健康行动</w:t>
      </w:r>
      <w:bookmarkEnd w:id="102"/>
      <w:bookmarkEnd w:id="103"/>
      <w:bookmarkEnd w:id="104"/>
    </w:p>
    <w:p>
      <w:pPr>
        <w:keepNext w:val="0"/>
        <w:keepLines w:val="0"/>
        <w:pageBreakBefore w:val="0"/>
        <w:kinsoku/>
        <w:wordWrap/>
        <w:topLinePunct w:val="0"/>
        <w:bidi w:val="0"/>
        <w:adjustRightInd w:val="0"/>
        <w:snapToGrid w:val="0"/>
        <w:spacing w:before="0" w:after="0" w:line="560" w:lineRule="exact"/>
        <w:ind w:firstLine="640" w:firstLineChars="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105" w:name="_Toc31895"/>
      <w:bookmarkStart w:id="106" w:name="_Toc18616"/>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w:t>
      </w:r>
      <w:bookmarkEnd w:id="105"/>
      <w:r>
        <w:rPr>
          <w:rFonts w:hint="eastAsia" w:ascii="楷体_GB2312" w:eastAsia="楷体_GB2312"/>
          <w:color w:val="000000" w:themeColor="text1"/>
          <w:sz w:val="32"/>
          <w:szCs w:val="32"/>
          <w:highlight w:val="none"/>
          <w14:textFill>
            <w14:solidFill>
              <w14:schemeClr w14:val="tx1"/>
            </w14:solidFill>
          </w14:textFill>
        </w:rPr>
        <w:t>构建更高水平的全民健身公共服务体系</w:t>
      </w:r>
      <w:bookmarkEnd w:id="10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持续完善体育设施建设。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“十四五”时期，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继续加强全民健身场地设施的新建及更新力度，</w:t>
      </w:r>
      <w:r>
        <w:rPr>
          <w:rFonts w:hint="eastAsia" w:ascii="仿宋_GB2312" w:hAnsi="宋体" w:eastAsia="仿宋_GB2312"/>
          <w:color w:val="000000" w:themeColor="text1"/>
          <w:sz w:val="32"/>
          <w:szCs w:val="32"/>
          <w:highlight w:val="none"/>
          <w14:textFill>
            <w14:solidFill>
              <w14:schemeClr w14:val="tx1"/>
            </w14:solidFill>
          </w14:textFill>
        </w:rPr>
        <w:t>紧扣“七有”目标和“五性”需求，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不断完善全民健身体系，增进群众体育健康福祉，初步构建“布局均衡、高端引领、科技智慧、开放惠民”的公共体育设施发展新格局。“十四五”期间，计划年均新增公共体育用地面积不少于8万平方米，至2025年，大兴区公共体育用地总规模达到约98万平方米，人均指标达到0.57平方米，处在全市领先水平。年均新增体育场地面积不少于4万平方米，年均更新体育场地不少于150处，至2025年，人均指标达到2.8平方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科学配置体育场地资源。</w:t>
      </w:r>
      <w:r>
        <w:rPr>
          <w:rFonts w:hint="eastAsia" w:ascii="仿宋_GB2312" w:hAnsi="仿宋_GB2312" w:eastAsia="仿宋_GB2312" w:cs="仿宋_GB2312"/>
          <w:color w:val="000000" w:themeColor="text1"/>
          <w:sz w:val="32"/>
          <w:szCs w:val="32"/>
          <w:highlight w:val="none"/>
          <w14:textFill>
            <w14:solidFill>
              <w14:schemeClr w14:val="tx1"/>
            </w14:solidFill>
          </w14:textFill>
        </w:rPr>
        <w:t>“十四五”期间，聚焦群众就近健身需要，优先规划建设贴近社区、方便可达的全民健身中心、多功能运动场、体育公园、健身步道、健身广场、小型足球场等健身设施，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w:t>
      </w:r>
      <w:r>
        <w:rPr>
          <w:rFonts w:hint="eastAsia" w:ascii="仿宋_GB2312" w:hAnsi="仿宋_GB2312" w:eastAsia="仿宋_GB2312" w:cs="仿宋_GB2312"/>
          <w:color w:val="000000" w:themeColor="text1"/>
          <w:sz w:val="32"/>
          <w:szCs w:val="32"/>
          <w:highlight w:val="none"/>
          <w14:textFill>
            <w14:solidFill>
              <w14:schemeClr w14:val="tx1"/>
            </w14:solidFill>
          </w14:textFill>
        </w:rPr>
        <w:t>优化“10分钟健身圈”，实现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城市</w:t>
      </w:r>
      <w:r>
        <w:rPr>
          <w:rFonts w:hint="eastAsia" w:ascii="仿宋_GB2312" w:hAnsi="仿宋_GB2312" w:eastAsia="仿宋_GB2312" w:cs="仿宋_GB2312"/>
          <w:color w:val="000000" w:themeColor="text1"/>
          <w:sz w:val="32"/>
          <w:szCs w:val="32"/>
          <w:highlight w:val="none"/>
          <w14:textFill>
            <w14:solidFill>
              <w14:schemeClr w14:val="tx1"/>
            </w14:solidFill>
          </w14:textFill>
        </w:rPr>
        <w:t>社区健身工程全覆盖，不断满足大兴区居民日益增长的健身需求。</w:t>
      </w:r>
    </w:p>
    <w:p>
      <w:pPr>
        <w:keepNext w:val="0"/>
        <w:keepLines w:val="0"/>
        <w:pageBreakBefore w:val="0"/>
        <w:shd w:val="clear" w:color="auto" w:fill="FFFFFF"/>
        <w:kinsoku/>
        <w:wordWrap/>
        <w:topLinePunct w:val="0"/>
        <w:bidi w:val="0"/>
        <w:adjustRightInd w:val="0"/>
        <w:snapToGrid w:val="0"/>
        <w:spacing w:before="0" w:beforeAutospacing="0" w:after="0" w:afterAutospacing="0" w:line="560" w:lineRule="exact"/>
        <w:ind w:firstLine="640"/>
        <w:jc w:val="both"/>
        <w:rPr>
          <w:rFonts w:hint="eastAsia"/>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推进智慧化大众体育综合服务平台</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整合大兴区大众体育资源，融入现代信息技术，高标准构建大兴区智慧化大众体育综合服务平台，完善建立体育一张图系统、智能场馆管理系统、信息发布管理系统、赛事活动服务系统、后台数据管理系统、运维服务系统等六大服务系统。推动大数据、人工智能、5G等先进技术赋能大众体育综合服务，提供灵活的体育服务信息交互展示、全量的体育数据资源调度、智能的分析研判学习等能力，提升全区体育综合服务质量。</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vAlign w:val="top"/>
          </w:tcPr>
          <w:p>
            <w:pPr>
              <w:keepNext w:val="0"/>
              <w:keepLines w:val="0"/>
              <w:pageBreakBefore w:val="0"/>
              <w:kinsoku/>
              <w:wordWrap/>
              <w:overflowPunct w:val="0"/>
              <w:topLinePunct w:val="0"/>
              <w:bidi w:val="0"/>
              <w:spacing w:line="560" w:lineRule="exact"/>
              <w:ind w:firstLine="0" w:firstLineChars="0"/>
              <w:jc w:val="center"/>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专栏</w:t>
            </w:r>
            <w:r>
              <w:rPr>
                <w:rFonts w:ascii="仿宋_GB2312" w:hAnsi="仿宋_GB2312" w:eastAsia="仿宋_GB2312" w:cs="仿宋_GB2312"/>
                <w:b/>
                <w:bCs/>
                <w:color w:val="000000" w:themeColor="text1"/>
                <w:sz w:val="32"/>
                <w:szCs w:val="32"/>
                <w:highlight w:val="none"/>
                <w14:textFill>
                  <w14:solidFill>
                    <w14:schemeClr w14:val="tx1"/>
                  </w14:solidFill>
                </w14:textFill>
              </w:rPr>
              <w:t>10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大兴区全民健身场地建设工程</w:t>
            </w:r>
          </w:p>
          <w:p>
            <w:pPr>
              <w:keepNext w:val="0"/>
              <w:keepLines w:val="0"/>
              <w:pageBreakBefore w:val="0"/>
              <w:kinsoku/>
              <w:wordWrap/>
              <w:overflowPunct w:val="0"/>
              <w:topLinePunct w:val="0"/>
              <w:bidi w:val="0"/>
              <w:spacing w:line="560" w:lineRule="exact"/>
              <w:ind w:firstLine="640" w:firstLineChars="20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“十四五”期间，依托区位优势，打造旧宫镇区级特色体育场馆，形成以体育休闲、竞赛表演、体育服务为支撑的体育产业发展链条，带动区域经济增长；响应“新国门”要求，建设榆垡镇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全民健身中心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充分满足周边居民及临空经济区服务保障人员的运动健身需求；统筹文化用地，建设庞各庄镇文化体育中心，重点服务于庞各庄镇内居民；结合新媒体产业基地建设，建设大兴区“体育+文化”融合发展示范基地。科学配置体育场地资源，不断加大全民健身场地建设与更新力度，不断满足大兴区居民日益增长的健身需求。</w:t>
            </w:r>
          </w:p>
        </w:tc>
      </w:tr>
    </w:tbl>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color w:val="000000" w:themeColor="text1"/>
          <w:sz w:val="32"/>
          <w:szCs w:val="32"/>
          <w:highlight w:val="none"/>
          <w14:textFill>
            <w14:solidFill>
              <w14:schemeClr w14:val="tx1"/>
            </w14:solidFill>
          </w14:textFill>
        </w:rPr>
      </w:pPr>
      <w:bookmarkStart w:id="107" w:name="_Toc13877"/>
      <w:bookmarkStart w:id="108" w:name="_Toc27041"/>
      <w:r>
        <w:rPr>
          <w:rFonts w:hint="eastAsia" w:ascii="楷体_GB2312" w:hAnsi="楷体_GB2312" w:eastAsia="楷体_GB2312" w:cs="楷体_GB2312"/>
          <w:color w:val="000000" w:themeColor="text1"/>
          <w:sz w:val="32"/>
          <w:szCs w:val="32"/>
          <w:highlight w:val="none"/>
          <w14:textFill>
            <w14:solidFill>
              <w14:schemeClr w14:val="tx1"/>
            </w14:solidFill>
          </w14:textFill>
        </w:rPr>
        <w:t>（二）推动全民健身赛事活动广泛开展</w:t>
      </w:r>
      <w:bookmarkEnd w:id="107"/>
      <w:bookmarkEnd w:id="108"/>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丰富全民健身赛事活动体系。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打造线上线下相结合、全社会参与、多项目覆盖、多层级联动的全民健身赛事活动体系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推动群众体育健身活动普遍化、经常化、多样化。支持各单项体育协会完善赛事体系，丰富赛事种类，增加赛事频次。扩大龙舟、武术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围棋</w:t>
      </w:r>
      <w:r>
        <w:rPr>
          <w:rFonts w:hint="eastAsia" w:ascii="仿宋_GB2312" w:hAnsi="仿宋_GB2312" w:eastAsia="仿宋_GB2312" w:cs="仿宋_GB2312"/>
          <w:color w:val="000000" w:themeColor="text1"/>
          <w:sz w:val="32"/>
          <w:szCs w:val="32"/>
          <w:highlight w:val="none"/>
          <w14:textFill>
            <w14:solidFill>
              <w14:schemeClr w14:val="tx1"/>
            </w14:solidFill>
          </w14:textFill>
        </w:rPr>
        <w:t>等民族传统体育赛事活动规模，落实赛事保障，继续提升赛事品质，打造地域性典型精品赛事品牌，吸引全市乃至全国选手参赛。深入开展“国球”项目，完善赛事多样性。结合徒步项目简洁、受众群体多且大的特点，着力广泛推广，增设活动站次，丰富路线种类及途中宣传。充分发挥社区体育在激发拼搏精神，增强社区认同感等方面的积极作用，以赛事活动为抓手，推动全区完成全民健身示范街道及体育特色乡镇创建工作，强化基层全民健身工作标准化、规范化建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促进冰雪运动赛事活动发展。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建成大兴区冰上运动中心，深度挖掘区内冰雪资源，支持引导各街镇全面开展因地制宜、各具特色的冰雪赛事活动，以北京市民快乐冰雪季群众冰雪活动为依托，以京津冀三地在冰雪运动推广方面的合作为联合，深度推进“一区一品”冰雪活动文化品牌，持续办好广泛开展冰雪公益体验课、冰雪知识大讲堂等多种形式的冰雪普及活动，带动全区群众参与冰雪运动热情不断提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带动重点人群赛事活动发展。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以“三大球”、“三小球”、田径、游泳、冰雪等项目为主线，广泛开展校园体育赛事活动，加快推进全区青少年体育赛事体系建设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研究推广适合老年人的健身休闲项目，组织开展中老年优秀健身项目展演赛等适合老年人的赛事活动。完善公共健身设施无障碍环境，积极举办多种类多形式的残疾人康复健身活动。持续推广广播体操、工间操，开展足球、篮球、冰雪、趣味运动会等职工喜闻乐见的体育活动。推动农民、妇女等人群健身活动开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color w:val="000000" w:themeColor="text1"/>
          <w:sz w:val="32"/>
          <w:szCs w:val="32"/>
          <w:highlight w:val="none"/>
          <w14:textFill>
            <w14:solidFill>
              <w14:schemeClr w14:val="tx1"/>
            </w14:solidFill>
          </w14:textFill>
        </w:rPr>
      </w:pPr>
      <w:bookmarkStart w:id="109" w:name="_Toc7154"/>
      <w:bookmarkStart w:id="110" w:name="_Toc7271"/>
      <w:r>
        <w:rPr>
          <w:rFonts w:hint="eastAsia" w:ascii="楷体_GB2312" w:hAnsi="楷体_GB2312" w:eastAsia="楷体_GB2312" w:cs="楷体_GB2312"/>
          <w:color w:val="000000" w:themeColor="text1"/>
          <w:sz w:val="32"/>
          <w:szCs w:val="32"/>
          <w:highlight w:val="none"/>
          <w14:textFill>
            <w14:solidFill>
              <w14:schemeClr w14:val="tx1"/>
            </w14:solidFill>
          </w14:textFill>
        </w:rPr>
        <w:t>（三）打造多层次体育赛事品牌</w:t>
      </w:r>
      <w:bookmarkEnd w:id="109"/>
      <w:bookmarkEnd w:id="110"/>
    </w:p>
    <w:p>
      <w:pPr>
        <w:keepNext w:val="0"/>
        <w:keepLines w:val="0"/>
        <w:pageBreakBefore w:val="0"/>
        <w:widowControl/>
        <w:numPr>
          <w:ilvl w:val="255"/>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积极引进培育大型品牌赛事。</w:t>
      </w:r>
      <w:r>
        <w:rPr>
          <w:rFonts w:hint="eastAsia" w:ascii="仿宋_GB2312" w:hAnsi="仿宋_GB2312" w:eastAsia="仿宋_GB2312" w:cs="仿宋_GB2312"/>
          <w:color w:val="000000" w:themeColor="text1"/>
          <w:sz w:val="32"/>
          <w:szCs w:val="32"/>
          <w:highlight w:val="none"/>
          <w14:textFill>
            <w14:solidFill>
              <w14:schemeClr w14:val="tx1"/>
            </w14:solidFill>
          </w14:textFill>
        </w:rPr>
        <w:t>提升大型体育场馆设施水平，加强与国际国内办赛主体、体育组织及高水平职业俱乐部交流合作，积极引进国际国内高端体育赛事。充分发挥知名体育赛事牵引带动作用，打造一批有特色、效果好、国际影响力大的品牌赛事活动。建立以企业为主体的重大赛事和体育活动市场化运作机制，促进体育竞赛表演业的投资主体多元化、办赛形式市场化、竞赛组织专业化。</w:t>
      </w:r>
    </w:p>
    <w:p>
      <w:pPr>
        <w:keepNext w:val="0"/>
        <w:keepLines w:val="0"/>
        <w:pageBreakBefore w:val="0"/>
        <w:widowControl/>
        <w:numPr>
          <w:ilvl w:val="255"/>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搭建赛事及文化交流平台。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依托大兴区首都国际交往新门户战略定位，加强国际体育赛事及文化交流，搭建国际体育赛事及文化交流平台，打造大兴区体育发展的国际品牌，提升体育发展知名度。以体育赛事活动为载体，将体育赛事活动融入群众的日常生活中，与文化、旅游、民俗、商贸融合，形成特色鲜明的体育名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3" w:firstLineChars="200"/>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健全体育赛事服务体系。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建立健全重大体育赛事运行机制，有力推动重大体育赛事各项工作的顺利开展。实行重大体育赛事联席会议制度，研究解决筹备工作中存在的问题，确保各环节衔接顺畅；借鉴成熟重大赛事活动市场开发、知识产权保护、宣传等方面的先进经验，明确思路、工作重点及责任分工。根据重大体育赛事举办的特点、规律，建立“政府主导、学校协作、社会参与、平台跟进”的重大体育赛事志愿者服务体系。</w:t>
      </w:r>
    </w:p>
    <w:p>
      <w:pPr>
        <w:keepNext w:val="0"/>
        <w:keepLines w:val="0"/>
        <w:pageBreakBefore w:val="0"/>
        <w:widowControl/>
        <w:numPr>
          <w:ilvl w:val="255"/>
          <w:numId w:val="0"/>
        </w:numPr>
        <w:pBdr>
          <w:bottom w:val="single" w:color="FFFFFF" w:sz="4" w:space="31"/>
        </w:pBdr>
        <w:tabs>
          <w:tab w:val="left" w:pos="1440"/>
        </w:tabs>
        <w:kinsoku/>
        <w:wordWrap/>
        <w:topLinePunct w:val="0"/>
        <w:bidi w:val="0"/>
        <w:snapToGrid/>
        <w:spacing w:line="560" w:lineRule="exact"/>
        <w:ind w:firstLine="640" w:firstLineChars="20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111" w:name="_Toc22943"/>
      <w:bookmarkStart w:id="112" w:name="_Toc5955"/>
      <w:r>
        <w:rPr>
          <w:rFonts w:hint="eastAsia" w:ascii="楷体_GB2312" w:hAnsi="楷体_GB2312" w:eastAsia="楷体_GB2312" w:cs="楷体_GB2312"/>
          <w:color w:val="000000" w:themeColor="text1"/>
          <w:kern w:val="2"/>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kern w:val="2"/>
          <w:sz w:val="32"/>
          <w:szCs w:val="32"/>
          <w:highlight w:val="none"/>
          <w:lang w:val="en-US" w:eastAsia="zh-CN"/>
          <w14:textFill>
            <w14:solidFill>
              <w14:schemeClr w14:val="tx1"/>
            </w14:solidFill>
          </w14:textFill>
        </w:rPr>
        <w:t>四</w:t>
      </w:r>
      <w:r>
        <w:rPr>
          <w:rFonts w:hint="eastAsia" w:ascii="楷体_GB2312" w:hAnsi="楷体_GB2312" w:eastAsia="楷体_GB2312" w:cs="楷体_GB2312"/>
          <w:color w:val="000000" w:themeColor="text1"/>
          <w:kern w:val="2"/>
          <w:sz w:val="32"/>
          <w:szCs w:val="32"/>
          <w:highlight w:val="none"/>
          <w:lang w:eastAsia="zh-CN"/>
          <w14:textFill>
            <w14:solidFill>
              <w14:schemeClr w14:val="tx1"/>
            </w14:solidFill>
          </w14:textFill>
        </w:rPr>
        <w:t>）</w:t>
      </w:r>
      <w:bookmarkEnd w:id="111"/>
      <w:bookmarkStart w:id="113" w:name="_Toc90318440"/>
      <w:bookmarkStart w:id="114" w:name="_Toc5530"/>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提升青少年竞技体育竞争力</w:t>
      </w:r>
      <w:bookmarkEnd w:id="112"/>
      <w:bookmarkEnd w:id="113"/>
      <w:bookmarkEnd w:id="114"/>
    </w:p>
    <w:p>
      <w:pPr>
        <w:keepNext w:val="0"/>
        <w:keepLines w:val="0"/>
        <w:pageBreakBefore w:val="0"/>
        <w:widowControl/>
        <w:numPr>
          <w:ilvl w:val="255"/>
          <w:numId w:val="0"/>
        </w:numPr>
        <w:pBdr>
          <w:bottom w:val="single" w:color="FFFFFF" w:sz="4" w:space="31"/>
        </w:pBdr>
        <w:tabs>
          <w:tab w:val="left" w:pos="1440"/>
        </w:tabs>
        <w:kinsoku/>
        <w:wordWrap/>
        <w:topLinePunct w:val="0"/>
        <w:bidi w:val="0"/>
        <w:snapToGrid/>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深度推进“体教融合”发展，建设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大兴区</w:t>
      </w:r>
      <w:r>
        <w:rPr>
          <w:rFonts w:hint="eastAsia" w:ascii="仿宋_GB2312" w:hAnsi="仿宋_GB2312" w:eastAsia="仿宋_GB2312" w:cs="仿宋_GB2312"/>
          <w:color w:val="000000" w:themeColor="text1"/>
          <w:sz w:val="32"/>
          <w:szCs w:val="32"/>
          <w:highlight w:val="none"/>
          <w14:textFill>
            <w14:solidFill>
              <w14:schemeClr w14:val="tx1"/>
            </w14:solidFill>
          </w14:textFill>
        </w:rPr>
        <w:t>青少年体育运动中心，打造大兴区“体教融合”试点项目，承接市级、区级青少年相关体育赛事，拓展体育培训渠道，提升学校体育发展活力。不断拓宽优秀运动员升学渠道，建立健全运动员升学体系；筹划大兴区青少年学生体育大会，完善各级各类青少年体育赛事运营管理机制；提高大兴区各项目运动队身体运动功能训练能力，开展各项目队伍运动康复工作；紧抓冬奥会契机，大力推广普及冰雪运动，开展冰雪进校园系列活动。加强体育传统特色校和青少年体育俱乐部建设，贯通青少年体育后备人才培养输送渠道。鼓励支持高水平青少年体育俱乐部开展竞技体育人才选拔、训练、比赛等，加大对俱乐部队伍的建设资金投入，制定相关青少年体育俱乐部管理办法，健全体俱合作体系。持续推进建设青少年体育赛事体系，规划大兴区青少年学生体育大会、大兴区冬季项目运动会等赛事，促进竞技体育赛事的发展。依托现有大型体育场馆，积极承办市运会等综合性赛事和京津冀、职业联赛等单项赛事。</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115" w:name="_Toc32147"/>
      <w:bookmarkStart w:id="116" w:name="_Toc12826"/>
      <w:r>
        <w:rPr>
          <w:rFonts w:hint="eastAsia" w:ascii="楷体_GB2312" w:hAnsi="楷体_GB2312" w:eastAsia="楷体_GB2312" w:cs="楷体_GB2312"/>
          <w:color w:val="000000" w:themeColor="text1"/>
          <w:kern w:val="2"/>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kern w:val="2"/>
          <w:sz w:val="32"/>
          <w:szCs w:val="32"/>
          <w:highlight w:val="none"/>
          <w:lang w:val="en-US" w:eastAsia="zh-CN"/>
          <w14:textFill>
            <w14:solidFill>
              <w14:schemeClr w14:val="tx1"/>
            </w14:solidFill>
          </w14:textFill>
        </w:rPr>
        <w:t>五</w:t>
      </w:r>
      <w:r>
        <w:rPr>
          <w:rFonts w:hint="eastAsia" w:ascii="楷体_GB2312" w:hAnsi="楷体_GB2312" w:eastAsia="楷体_GB2312" w:cs="楷体_GB2312"/>
          <w:color w:val="000000" w:themeColor="text1"/>
          <w:kern w:val="2"/>
          <w:sz w:val="32"/>
          <w:szCs w:val="32"/>
          <w:highlight w:val="none"/>
          <w:lang w:eastAsia="zh-CN"/>
          <w14:textFill>
            <w14:solidFill>
              <w14:schemeClr w14:val="tx1"/>
            </w14:solidFill>
          </w14:textFill>
        </w:rPr>
        <w:t>）</w:t>
      </w:r>
      <w:bookmarkEnd w:id="115"/>
      <w:bookmarkStart w:id="117" w:name="_Toc16666"/>
      <w:bookmarkStart w:id="118" w:name="_Toc90318441"/>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落实全民健康行动计划</w:t>
      </w:r>
      <w:bookmarkEnd w:id="116"/>
      <w:bookmarkEnd w:id="117"/>
      <w:bookmarkEnd w:id="118"/>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践行健康北京行动，加强健康促进与健康教育，</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树立正确健康观，提升居民健康素养</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健康教育队伍建设，相关技术人员比例不断提升。发挥医疗机构和医学专家作用，结合“高血压病日”“糖尿病日”等开展健康科普宣传，在诊疗过程中为患者和家属提供相关健康指导。以“健康大兴”主题宣讲和健康大课堂等为载体，倡导健康文明的生活方式，引导全社会树立“大卫生”“大健康”理念。通过多种渠道积极开展健康食堂、健康餐厅、健康社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等示范创建工作。坚持“健康共建共享”理念，强化每个人是自己健康的第一责任人观念，到2022年，居民健康素养水平达到40%，形成较为完善的健康促进与教育工作体系。</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1"/>
        <w:rPr>
          <w:rFonts w:hint="eastAsia" w:ascii="黑体" w:hAnsi="黑体" w:eastAsia="黑体" w:cs="黑体"/>
          <w:b w:val="0"/>
          <w:color w:val="000000" w:themeColor="text1"/>
          <w:sz w:val="32"/>
          <w:szCs w:val="32"/>
          <w:highlight w:val="none"/>
          <w:lang w:eastAsia="zh-CN"/>
          <w14:textFill>
            <w14:solidFill>
              <w14:schemeClr w14:val="tx1"/>
            </w14:solidFill>
          </w14:textFill>
        </w:rPr>
      </w:pPr>
      <w:bookmarkStart w:id="119" w:name="_Toc22176"/>
      <w:bookmarkStart w:id="120" w:name="_Toc12421"/>
      <w:r>
        <w:rPr>
          <w:rFonts w:hint="eastAsia" w:ascii="黑体" w:hAnsi="黑体" w:eastAsia="黑体" w:cs="黑体"/>
          <w:color w:val="000000" w:themeColor="text1"/>
          <w:sz w:val="32"/>
          <w:szCs w:val="32"/>
          <w:highlight w:val="none"/>
          <w:lang w:eastAsia="zh-CN"/>
          <w14:textFill>
            <w14:solidFill>
              <w14:schemeClr w14:val="tx1"/>
            </w14:solidFill>
          </w14:textFill>
        </w:rPr>
        <w:t>五、</w:t>
      </w:r>
      <w:bookmarkEnd w:id="119"/>
      <w:r>
        <w:rPr>
          <w:rFonts w:hint="eastAsia" w:ascii="黑体" w:hAnsi="黑体" w:eastAsia="黑体" w:cs="黑体"/>
          <w:b w:val="0"/>
          <w:color w:val="000000" w:themeColor="text1"/>
          <w:sz w:val="32"/>
          <w:szCs w:val="32"/>
          <w:highlight w:val="none"/>
          <w:lang w:eastAsia="zh-CN"/>
          <w14:textFill>
            <w14:solidFill>
              <w14:schemeClr w14:val="tx1"/>
            </w14:solidFill>
          </w14:textFill>
        </w:rPr>
        <w:t>加强健康服务与人口社会服务融合发展</w:t>
      </w:r>
      <w:bookmarkEnd w:id="120"/>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121" w:name="_Toc29654"/>
      <w:bookmarkStart w:id="122" w:name="_Toc13537"/>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w:t>
      </w:r>
      <w:bookmarkEnd w:id="121"/>
      <w:bookmarkStart w:id="123" w:name="_Toc7010"/>
      <w:bookmarkStart w:id="124" w:name="_Toc90318443"/>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构建全生命周期健康服务体系</w:t>
      </w:r>
      <w:bookmarkEnd w:id="122"/>
      <w:bookmarkEnd w:id="123"/>
      <w:bookmarkEnd w:id="124"/>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结合全民健康信息平台建设，针对生命不同阶段人群的主要健康问题及影响因素，各级各类机构间以人为本合作开展人群的疾病预防与健康管理活动。完善覆盖全人群、全周期的健康服务链条，逐步健全覆盖婴幼儿、儿童少年、青壮年、老年的全生命周期的健康服务体系，开展疾病监测、评价及适宜健康管理，提高健康供给质量和服务水平，满足居民不断增长的健康需求和美好生活愿望。</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楷体_GB2312" w:hAnsi="宋体" w:eastAsia="楷体_GB2312"/>
          <w:b w:val="0"/>
          <w:bCs w:val="0"/>
          <w:color w:val="000000" w:themeColor="text1"/>
          <w:sz w:val="32"/>
          <w:szCs w:val="32"/>
          <w:highlight w:val="none"/>
          <w14:textFill>
            <w14:solidFill>
              <w14:schemeClr w14:val="tx1"/>
            </w14:solidFill>
          </w14:textFill>
        </w:rPr>
      </w:pPr>
      <w:bookmarkStart w:id="125" w:name="_Toc25304"/>
      <w:bookmarkStart w:id="126" w:name="_Toc9120"/>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w:t>
      </w:r>
      <w:bookmarkEnd w:id="125"/>
      <w:bookmarkStart w:id="127" w:name="_Toc20945"/>
      <w:bookmarkStart w:id="128" w:name="_Toc90318444"/>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完善妇幼健康服务管理</w:t>
      </w:r>
      <w:bookmarkEnd w:id="126"/>
      <w:bookmarkEnd w:id="127"/>
      <w:bookmarkEnd w:id="128"/>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完善妇幼保健服务体系，推进区妇幼保健院标准化建设，深化妇幼保健服务网络标准化建设，强化助产、妇儿保健规范化服务，促进保健服务提质增效；加强危重孕产妇、新生儿救治中心建设，强化多学科协作救治能力提升。提供母婴安全全程保障，</w:t>
      </w:r>
      <w:r>
        <w:rPr>
          <w:rFonts w:hint="eastAsia" w:ascii="仿宋_GB2312" w:eastAsia="仿宋_GB2312" w:cs="仿宋"/>
          <w:color w:val="000000" w:themeColor="text1"/>
          <w:sz w:val="32"/>
          <w:szCs w:val="32"/>
          <w:highlight w:val="none"/>
          <w14:textFill>
            <w14:solidFill>
              <w14:schemeClr w14:val="tx1"/>
            </w14:solidFill>
          </w14:textFill>
        </w:rPr>
        <w:t>健全母婴安全监测、预警、救治、追踪管理，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实施婚前、孕前、孕期、产褥期全程母婴风险的“预测-预防-预警-应急”服务，保障母婴安康。加强出生缺陷综合防治，</w:t>
      </w:r>
      <w:r>
        <w:rPr>
          <w:rFonts w:hint="eastAsia" w:ascii="仿宋_GB2312" w:eastAsia="仿宋_GB2312" w:cs="仿宋"/>
          <w:bCs/>
          <w:color w:val="000000" w:themeColor="text1"/>
          <w:sz w:val="32"/>
          <w:szCs w:val="32"/>
          <w:highlight w:val="none"/>
          <w14:textFill>
            <w14:solidFill>
              <w14:schemeClr w14:val="tx1"/>
            </w14:solidFill>
          </w14:textFill>
        </w:rPr>
        <w:t>宣传普及出生缺陷防治知识，建立多部门联动防治出生缺陷工作机制，</w:t>
      </w:r>
      <w:r>
        <w:rPr>
          <w:rFonts w:ascii="仿宋_GB2312" w:hAnsi="宋体" w:eastAsia="仿宋_GB2312"/>
          <w:color w:val="000000" w:themeColor="text1"/>
          <w:sz w:val="32"/>
          <w:szCs w:val="32"/>
          <w:highlight w:val="none"/>
          <w14:textFill>
            <w14:solidFill>
              <w14:schemeClr w14:val="tx1"/>
            </w14:solidFill>
          </w14:textFill>
        </w:rPr>
        <w:t>开展妊娠风险筛查、评估、管理、救治</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eastAsia="仿宋_GB2312" w:cs="仿宋"/>
          <w:bCs/>
          <w:color w:val="000000" w:themeColor="text1"/>
          <w:sz w:val="32"/>
          <w:szCs w:val="32"/>
          <w:highlight w:val="none"/>
          <w14:textFill>
            <w14:solidFill>
              <w14:schemeClr w14:val="tx1"/>
            </w14:solidFill>
          </w14:textFill>
        </w:rPr>
        <w:t>强化出生缺陷三级防治措施。加强0-6岁儿童保健服务管理，深入推进儿童健康管理、残疾筛查、康复“一条龙”服务。</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积极落实生育政策体系和服务管理制度，提高优生优育服务水平，</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推进落实</w:t>
      </w:r>
      <w:r>
        <w:rPr>
          <w:rFonts w:hint="eastAsia" w:ascii="仿宋_GB2312" w:hAnsi="宋体" w:eastAsia="仿宋_GB2312"/>
          <w:color w:val="000000" w:themeColor="text1"/>
          <w:sz w:val="32"/>
          <w:szCs w:val="32"/>
          <w:highlight w:val="none"/>
          <w14:textFill>
            <w14:solidFill>
              <w14:schemeClr w14:val="tx1"/>
            </w14:solidFill>
          </w14:textFill>
        </w:rPr>
        <w:t>3岁以下婴幼儿照护服务工作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14:textFill>
            <w14:solidFill>
              <w14:schemeClr w14:val="tx1"/>
            </w14:solidFill>
          </w14:textFill>
        </w:rPr>
        <w:t>按照不少于4.5托位/千人的标准配置完善婴幼儿照护服务设施</w:t>
      </w:r>
      <w:r>
        <w:rPr>
          <w:rFonts w:hint="eastAsia" w:ascii="仿宋_GB2312" w:hAnsi="仿宋_GB2312" w:eastAsia="仿宋_GB2312" w:cs="仿宋_GB2312"/>
          <w:i w:val="0"/>
          <w:caps w:val="0"/>
          <w:color w:val="000000" w:themeColor="text1"/>
          <w:spacing w:val="0"/>
          <w:sz w:val="32"/>
          <w:szCs w:val="32"/>
          <w:highlight w:val="none"/>
          <w:shd w:val="clear"/>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加快</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普惠托育服务机构建设，使</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生育、养育、教育成本逐步降低，生育水平适当提高，人口素质进一步提升。</w:t>
      </w:r>
      <w:r>
        <w:rPr>
          <w:rFonts w:hint="eastAsia" w:ascii="仿宋_GB2312" w:eastAsia="仿宋_GB2312" w:cs="仿宋"/>
          <w:bCs/>
          <w:color w:val="000000" w:themeColor="text1"/>
          <w:sz w:val="32"/>
          <w:szCs w:val="32"/>
          <w:highlight w:val="none"/>
          <w14:textFill>
            <w14:solidFill>
              <w14:schemeClr w14:val="tx1"/>
            </w14:solidFill>
          </w14:textFill>
        </w:rPr>
        <w:t>促进妇女生殖健康，推动多部门合作，传播</w:t>
      </w:r>
      <w:r>
        <w:rPr>
          <w:rFonts w:hint="eastAsia" w:ascii="仿宋_GB2312" w:hAnsi="仿宋" w:eastAsia="仿宋_GB2312" w:cs="仿宋"/>
          <w:color w:val="000000" w:themeColor="text1"/>
          <w:sz w:val="32"/>
          <w:szCs w:val="32"/>
          <w:highlight w:val="none"/>
          <w14:textFill>
            <w14:solidFill>
              <w14:schemeClr w14:val="tx1"/>
            </w14:solidFill>
          </w14:textFill>
        </w:rPr>
        <w:t>正确、科学的青春期和更年期等生殖健康知识，以更年期保健工作室建设为契机，规范更年期保健服务。</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129" w:name="_Toc30149"/>
      <w:bookmarkStart w:id="130" w:name="_Toc13273"/>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w:t>
      </w:r>
      <w:bookmarkEnd w:id="129"/>
      <w:bookmarkStart w:id="131" w:name="_Toc90318445"/>
      <w:bookmarkStart w:id="132" w:name="_Toc13441"/>
      <w:r>
        <w:rPr>
          <w:rFonts w:hint="eastAsia" w:ascii="楷体_GB2312" w:hAnsi="楷体_GB2312" w:eastAsia="楷体_GB2312" w:cs="楷体_GB2312"/>
          <w:color w:val="000000" w:themeColor="text1"/>
          <w:sz w:val="32"/>
          <w:szCs w:val="32"/>
          <w:highlight w:val="none"/>
          <w14:textFill>
            <w14:solidFill>
              <w14:schemeClr w14:val="tx1"/>
            </w14:solidFill>
          </w14:textFill>
        </w:rPr>
        <w:t>推进校园健康行动</w:t>
      </w:r>
      <w:bookmarkEnd w:id="130"/>
      <w:bookmarkEnd w:id="131"/>
      <w:bookmarkEnd w:id="132"/>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发挥专业机构作用，配合大兴区教委指导儿童青少年养成良好的健康习惯，合理营养膳食，减少</w:t>
      </w:r>
      <w:r>
        <w:rPr>
          <w:rFonts w:ascii="仿宋_GB2312" w:hAnsi="仿宋_GB2312" w:eastAsia="仿宋_GB2312" w:cs="仿宋_GB2312"/>
          <w:color w:val="000000" w:themeColor="text1"/>
          <w:sz w:val="32"/>
          <w:szCs w:val="32"/>
          <w:highlight w:val="none"/>
          <w14:textFill>
            <w14:solidFill>
              <w14:schemeClr w14:val="tx1"/>
            </w14:solidFill>
          </w14:textFill>
        </w:rPr>
        <w:t>儿童青少年近视率</w:t>
      </w:r>
      <w:r>
        <w:rPr>
          <w:rFonts w:hint="eastAsia" w:ascii="仿宋_GB2312" w:hAnsi="仿宋_GB2312" w:eastAsia="仿宋_GB2312" w:cs="仿宋_GB2312"/>
          <w:color w:val="000000" w:themeColor="text1"/>
          <w:sz w:val="32"/>
          <w:szCs w:val="32"/>
          <w:highlight w:val="none"/>
          <w14:textFill>
            <w14:solidFill>
              <w14:schemeClr w14:val="tx1"/>
            </w14:solidFill>
          </w14:textFill>
        </w:rPr>
        <w:t>和</w:t>
      </w:r>
      <w:r>
        <w:rPr>
          <w:rFonts w:ascii="仿宋_GB2312" w:hAnsi="仿宋_GB2312" w:eastAsia="仿宋_GB2312" w:cs="仿宋_GB2312"/>
          <w:color w:val="000000" w:themeColor="text1"/>
          <w:sz w:val="32"/>
          <w:szCs w:val="32"/>
          <w:highlight w:val="none"/>
          <w14:textFill>
            <w14:solidFill>
              <w14:schemeClr w14:val="tx1"/>
            </w14:solidFill>
          </w14:textFill>
        </w:rPr>
        <w:t>肥胖率</w:t>
      </w:r>
      <w:r>
        <w:rPr>
          <w:rFonts w:hint="eastAsia" w:ascii="仿宋_GB2312" w:hAnsi="仿宋_GB2312" w:eastAsia="仿宋_GB2312" w:cs="仿宋_GB2312"/>
          <w:color w:val="000000" w:themeColor="text1"/>
          <w:sz w:val="32"/>
          <w:szCs w:val="32"/>
          <w:highlight w:val="none"/>
          <w14:textFill>
            <w14:solidFill>
              <w14:schemeClr w14:val="tx1"/>
            </w14:solidFill>
          </w14:textFill>
        </w:rPr>
        <w:t>，减少龋齿发生，促进儿童青少年身心健康发展，争创</w:t>
      </w:r>
      <w:r>
        <w:rPr>
          <w:rFonts w:ascii="仿宋_GB2312" w:hAnsi="仿宋_GB2312" w:eastAsia="仿宋_GB2312" w:cs="仿宋_GB2312"/>
          <w:color w:val="000000" w:themeColor="text1"/>
          <w:sz w:val="32"/>
          <w:szCs w:val="32"/>
          <w:highlight w:val="none"/>
          <w14:textFill>
            <w14:solidFill>
              <w14:schemeClr w14:val="tx1"/>
            </w14:solidFill>
          </w14:textFill>
        </w:rPr>
        <w:t>五星级健康促进学校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。落实校内医教合作方式与内容，帮助营造青少年健康成长环境，</w:t>
      </w:r>
      <w:r>
        <w:rPr>
          <w:rFonts w:ascii="仿宋_GB2312" w:hAnsi="仿宋_GB2312" w:eastAsia="仿宋_GB2312" w:cs="仿宋_GB2312"/>
          <w:color w:val="000000" w:themeColor="text1"/>
          <w:sz w:val="32"/>
          <w:szCs w:val="32"/>
          <w:highlight w:val="none"/>
          <w14:textFill>
            <w14:solidFill>
              <w14:schemeClr w14:val="tx1"/>
            </w14:solidFill>
          </w14:textFill>
        </w:rPr>
        <w:t>提升</w:t>
      </w:r>
      <w:r>
        <w:rPr>
          <w:rFonts w:hint="eastAsia" w:ascii="仿宋_GB2312" w:hAnsi="仿宋_GB2312" w:eastAsia="仿宋_GB2312" w:cs="仿宋_GB2312"/>
          <w:color w:val="000000" w:themeColor="text1"/>
          <w:sz w:val="32"/>
          <w:szCs w:val="32"/>
          <w:highlight w:val="none"/>
          <w14:textFill>
            <w14:solidFill>
              <w14:schemeClr w14:val="tx1"/>
            </w14:solidFill>
          </w14:textFill>
        </w:rPr>
        <w:t>整体</w:t>
      </w:r>
      <w:r>
        <w:rPr>
          <w:rFonts w:ascii="仿宋_GB2312" w:hAnsi="仿宋_GB2312" w:eastAsia="仿宋_GB2312" w:cs="仿宋_GB2312"/>
          <w:color w:val="000000" w:themeColor="text1"/>
          <w:sz w:val="32"/>
          <w:szCs w:val="32"/>
          <w:highlight w:val="none"/>
          <w14:textFill>
            <w14:solidFill>
              <w14:schemeClr w14:val="tx1"/>
            </w14:solidFill>
          </w14:textFill>
        </w:rPr>
        <w:t>健康素养和体质健康水平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仿宋_GB2312" w:hAnsi="仿宋" w:eastAsia="仿宋_GB2312" w:cs="仿宋"/>
          <w:b w:val="0"/>
          <w:bCs w:val="0"/>
          <w:color w:val="000000" w:themeColor="text1"/>
          <w:sz w:val="32"/>
          <w:szCs w:val="32"/>
          <w:highlight w:val="none"/>
          <w14:textFill>
            <w14:solidFill>
              <w14:schemeClr w14:val="tx1"/>
            </w14:solidFill>
          </w14:textFill>
        </w:rPr>
      </w:pPr>
      <w:bookmarkStart w:id="133" w:name="_Toc16630"/>
      <w:bookmarkStart w:id="134" w:name="_Toc15868"/>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（四）</w:t>
      </w:r>
      <w:bookmarkEnd w:id="133"/>
      <w:bookmarkStart w:id="135" w:name="_Toc90318446"/>
      <w:bookmarkStart w:id="136" w:name="_Toc10314"/>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落实职业健康政策</w:t>
      </w:r>
      <w:bookmarkEnd w:id="134"/>
      <w:bookmarkEnd w:id="135"/>
      <w:bookmarkEnd w:id="136"/>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jc w:val="both"/>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关注职业人群健康，坚持“预防为主、防治结合”方针，完善职业健康管理体系。加强部门联动，落实属地职责，发挥行业组织优势，压实用人单位主体责任，强化多元共治、源头治理，督促其完善职业卫生管理责任体系与管理制度，依法配备专兼职管理人员，持续强化职业卫生基础管理。抓好用人单位主要负责人、各级职业卫生监管人员业务培训，加强卫生健康管理能力建设。深化重点职业病监测和专项调查质量内涵，加强职业卫生技术服务机构、职业健康检查机构建设和能力提升，切实保障劳动者健康权益。</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楷体_GB2312" w:hAnsi="楷体_GB2312" w:eastAsia="楷体_GB2312" w:cs="楷体_GB2312"/>
          <w:b w:val="0"/>
          <w:bCs w:val="0"/>
          <w:color w:val="000000" w:themeColor="text1"/>
          <w:kern w:val="2"/>
          <w:sz w:val="32"/>
          <w:szCs w:val="32"/>
          <w:highlight w:val="none"/>
          <w14:textFill>
            <w14:solidFill>
              <w14:schemeClr w14:val="tx1"/>
            </w14:solidFill>
          </w14:textFill>
        </w:rPr>
      </w:pPr>
      <w:bookmarkStart w:id="137" w:name="_Toc22567"/>
      <w:bookmarkStart w:id="138" w:name="_Toc16028"/>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（五）</w:t>
      </w:r>
      <w:bookmarkEnd w:id="137"/>
      <w:bookmarkStart w:id="139" w:name="_Toc90318447"/>
      <w:bookmarkStart w:id="140" w:name="_Toc13109"/>
      <w:r>
        <w:rPr>
          <w:rFonts w:hint="eastAsia" w:ascii="楷体_GB2312" w:hAnsi="楷体_GB2312" w:eastAsia="楷体_GB2312" w:cs="楷体_GB2312"/>
          <w:b w:val="0"/>
          <w:bCs w:val="0"/>
          <w:color w:val="000000" w:themeColor="text1"/>
          <w:kern w:val="2"/>
          <w:sz w:val="32"/>
          <w:szCs w:val="32"/>
          <w:highlight w:val="none"/>
          <w14:textFill>
            <w14:solidFill>
              <w14:schemeClr w14:val="tx1"/>
            </w14:solidFill>
          </w14:textFill>
        </w:rPr>
        <w:t>提升老龄健康服务能力</w:t>
      </w:r>
      <w:bookmarkEnd w:id="138"/>
      <w:bookmarkEnd w:id="139"/>
      <w:bookmarkEnd w:id="140"/>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jc w:val="both"/>
        <w:rPr>
          <w:rFonts w:hint="eastAsia" w:ascii="仿宋_GB2312" w:hAnsi="宋体" w:eastAsia="仿宋_GB2312" w:cstheme="minorBidi"/>
          <w:color w:val="000000" w:themeColor="text1"/>
          <w:sz w:val="32"/>
          <w:szCs w:val="32"/>
          <w:highlight w:val="none"/>
          <w14:textFill>
            <w14:solidFill>
              <w14:schemeClr w14:val="tx1"/>
            </w14:solidFill>
          </w14:textFill>
        </w:rPr>
      </w:pPr>
      <w:r>
        <w:rPr>
          <w:rFonts w:hint="eastAsia" w:ascii="仿宋_GB2312" w:hAnsi="宋体" w:eastAsia="仿宋_GB2312" w:cstheme="minorBidi"/>
          <w:color w:val="000000" w:themeColor="text1"/>
          <w:sz w:val="32"/>
          <w:szCs w:val="32"/>
          <w:highlight w:val="none"/>
          <w14:textFill>
            <w14:solidFill>
              <w14:schemeClr w14:val="tx1"/>
            </w14:solidFill>
          </w14:textFill>
        </w:rPr>
        <w:t>推进区老年健康和医养结合服务指导中心建设，构建以区指导中心为技术引领，二、三级医疗机构广泛参与，基层卫生服务中心（站）为依托，家医签约为手段的老年健康服务网络。</w:t>
      </w:r>
      <w:r>
        <w:rPr>
          <w:rFonts w:hint="eastAsia" w:ascii="仿宋_GB2312" w:hAnsi="宋体" w:eastAsia="仿宋_GB2312" w:cstheme="minorBidi"/>
          <w:color w:val="000000" w:themeColor="text1"/>
          <w:kern w:val="2"/>
          <w:sz w:val="32"/>
          <w:szCs w:val="32"/>
          <w:highlight w:val="none"/>
          <w14:textFill>
            <w14:solidFill>
              <w14:schemeClr w14:val="tx1"/>
            </w14:solidFill>
          </w14:textFill>
        </w:rPr>
        <w:t>开展社区老年健康服务规范化建设</w:t>
      </w:r>
      <w:r>
        <w:rPr>
          <w:rFonts w:hint="eastAsia" w:ascii="仿宋_GB2312" w:hAnsi="宋体" w:eastAsia="仿宋_GB2312" w:cstheme="minorBidi"/>
          <w:color w:val="000000" w:themeColor="text1"/>
          <w:sz w:val="32"/>
          <w:szCs w:val="32"/>
          <w:highlight w:val="none"/>
          <w14:textFill>
            <w14:solidFill>
              <w14:schemeClr w14:val="tx1"/>
            </w14:solidFill>
          </w14:textFill>
        </w:rPr>
        <w:t>。逐步建立健全</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w:t>
      </w:r>
      <w:r>
        <w:rPr>
          <w:rFonts w:hint="eastAsia" w:ascii="仿宋_GB2312" w:hAnsi="宋体" w:eastAsia="仿宋_GB2312" w:cstheme="minorBidi"/>
          <w:color w:val="000000" w:themeColor="text1"/>
          <w:sz w:val="32"/>
          <w:szCs w:val="32"/>
          <w:highlight w:val="none"/>
          <w14:textFill>
            <w14:solidFill>
              <w14:schemeClr w14:val="tx1"/>
            </w14:solidFill>
          </w14:textFill>
        </w:rPr>
        <w:t>预防-治疗-康复-护理-长期照护-安宁疗护</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w:t>
      </w:r>
      <w:r>
        <w:rPr>
          <w:rFonts w:hint="eastAsia" w:ascii="仿宋_GB2312" w:hAnsi="宋体" w:eastAsia="仿宋_GB2312" w:cstheme="minorBidi"/>
          <w:color w:val="000000" w:themeColor="text1"/>
          <w:sz w:val="32"/>
          <w:szCs w:val="32"/>
          <w:highlight w:val="none"/>
          <w14:textFill>
            <w14:solidFill>
              <w14:schemeClr w14:val="tx1"/>
            </w14:solidFill>
          </w14:textFill>
        </w:rPr>
        <w:t>服务链</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，全区</w:t>
      </w:r>
      <w:r>
        <w:rPr>
          <w:rFonts w:hint="eastAsia" w:ascii="仿宋_GB2312" w:hAnsi="宋体" w:eastAsia="仿宋_GB2312" w:cstheme="minorBidi"/>
          <w:i w:val="0"/>
          <w:caps w:val="0"/>
          <w:color w:val="000000" w:themeColor="text1"/>
          <w:spacing w:val="0"/>
          <w:sz w:val="32"/>
          <w:szCs w:val="32"/>
          <w:highlight w:val="none"/>
          <w:shd w:val="clear"/>
          <w14:textFill>
            <w14:solidFill>
              <w14:schemeClr w14:val="tx1"/>
            </w14:solidFill>
          </w14:textFill>
        </w:rPr>
        <w:t>至少设置1家安宁疗护中心</w:t>
      </w:r>
      <w:r>
        <w:rPr>
          <w:rFonts w:hint="eastAsia" w:ascii="仿宋_GB2312" w:hAnsi="宋体" w:eastAsia="仿宋_GB2312" w:cstheme="minorBidi"/>
          <w:color w:val="000000" w:themeColor="text1"/>
          <w:sz w:val="32"/>
          <w:szCs w:val="32"/>
          <w:highlight w:val="none"/>
          <w14:textFill>
            <w14:solidFill>
              <w14:schemeClr w14:val="tx1"/>
            </w14:solidFill>
          </w14:textFill>
        </w:rPr>
        <w:t>。加强医疗机构适老化改造，老年友善医疗机构占比超过80%。将失能老年人作为家庭医生签约服务重点人群，积极开展家庭病床及上门巡诊服务。</w:t>
      </w:r>
      <w:r>
        <w:rPr>
          <w:rFonts w:hint="eastAsia" w:ascii="仿宋_GB2312" w:hAnsi="宋体" w:eastAsia="仿宋_GB2312" w:cstheme="minorBidi"/>
          <w:color w:val="000000" w:themeColor="text1"/>
          <w:kern w:val="2"/>
          <w:sz w:val="32"/>
          <w:szCs w:val="32"/>
          <w:highlight w:val="none"/>
          <w14:textFill>
            <w14:solidFill>
              <w14:schemeClr w14:val="tx1"/>
            </w14:solidFill>
          </w14:textFill>
        </w:rPr>
        <w:t>深入推进医养康养结合工作，</w:t>
      </w:r>
      <w:r>
        <w:rPr>
          <w:rFonts w:hint="eastAsia" w:ascii="仿宋_GB2312" w:hAnsi="宋体" w:eastAsia="仿宋_GB2312" w:cstheme="minorBidi"/>
          <w:color w:val="000000" w:themeColor="text1"/>
          <w:sz w:val="32"/>
          <w:szCs w:val="32"/>
          <w:highlight w:val="none"/>
          <w14:textFill>
            <w14:solidFill>
              <w14:schemeClr w14:val="tx1"/>
            </w14:solidFill>
          </w14:textFill>
        </w:rPr>
        <w:t>强化医疗卫生服务与养老服务衔接。做实家庭医生签约服务，持续提升老年人健康管理服务率和服务质量，老年人规范健康管理服务率不低于65%。发挥康复、中医药在老年医疗服务中的作用，拓展家庭医生签约服务包内涵。支持有条件的医疗机构建立</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w:t>
      </w:r>
      <w:r>
        <w:rPr>
          <w:rFonts w:hint="eastAsia" w:ascii="仿宋_GB2312" w:hAnsi="宋体" w:eastAsia="仿宋_GB2312" w:cstheme="minorBidi"/>
          <w:color w:val="000000" w:themeColor="text1"/>
          <w:sz w:val="32"/>
          <w:szCs w:val="32"/>
          <w:highlight w:val="none"/>
          <w14:textFill>
            <w14:solidFill>
              <w14:schemeClr w14:val="tx1"/>
            </w14:solidFill>
          </w14:textFill>
        </w:rPr>
        <w:t>医院-社区-家庭</w:t>
      </w:r>
      <w:r>
        <w:rPr>
          <w:rFonts w:hint="eastAsia" w:ascii="仿宋_GB2312" w:hAnsi="宋体" w:eastAsia="仿宋_GB2312" w:cstheme="minorBidi"/>
          <w:color w:val="000000" w:themeColor="text1"/>
          <w:sz w:val="32"/>
          <w:szCs w:val="32"/>
          <w:highlight w:val="none"/>
          <w:lang w:eastAsia="zh-CN"/>
          <w14:textFill>
            <w14:solidFill>
              <w14:schemeClr w14:val="tx1"/>
            </w14:solidFill>
          </w14:textFill>
        </w:rPr>
        <w:t>”</w:t>
      </w:r>
      <w:r>
        <w:rPr>
          <w:rFonts w:hint="eastAsia" w:ascii="仿宋_GB2312" w:hAnsi="宋体" w:eastAsia="仿宋_GB2312" w:cstheme="minorBidi"/>
          <w:color w:val="000000" w:themeColor="text1"/>
          <w:sz w:val="32"/>
          <w:szCs w:val="32"/>
          <w:highlight w:val="none"/>
          <w14:textFill>
            <w14:solidFill>
              <w14:schemeClr w14:val="tx1"/>
            </w14:solidFill>
          </w14:textFill>
        </w:rPr>
        <w:t>联动机制，将护理服务延伸到社区和家庭。开展“智慧助老”行动，帮助老年人跨越“数字鸿沟”。完善“区级示范中心（指导中心）-镇街养老照料中心-村（社区）养老驿站-家庭照护床位”养老服务体系。逐步开展养老家庭照护床位试点建设，依托养老服务机构建立家庭照护床位，让老年人在家享受专业化的养老照护服务。</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after="0"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141" w:name="_Toc19855"/>
      <w:bookmarkStart w:id="142" w:name="_Toc12626"/>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（六）</w:t>
      </w:r>
      <w:bookmarkEnd w:id="141"/>
      <w:bookmarkStart w:id="143" w:name="_Toc90318448"/>
      <w:bookmarkStart w:id="144" w:name="_Toc31141"/>
      <w:r>
        <w:rPr>
          <w:rFonts w:hint="eastAsia" w:ascii="楷体_GB2312" w:hAnsi="楷体_GB2312" w:eastAsia="楷体_GB2312" w:cs="楷体_GB2312"/>
          <w:color w:val="000000" w:themeColor="text1"/>
          <w:sz w:val="32"/>
          <w:szCs w:val="32"/>
          <w:highlight w:val="none"/>
          <w14:textFill>
            <w14:solidFill>
              <w14:schemeClr w14:val="tx1"/>
            </w14:solidFill>
          </w14:textFill>
        </w:rPr>
        <w:t>优化残疾人健康服务</w:t>
      </w:r>
      <w:bookmarkEnd w:id="142"/>
      <w:bookmarkEnd w:id="143"/>
      <w:bookmarkEnd w:id="144"/>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theme="minorBidi"/>
          <w:color w:val="000000" w:themeColor="text1"/>
          <w:sz w:val="32"/>
          <w:szCs w:val="32"/>
          <w:highlight w:val="none"/>
          <w14:textFill>
            <w14:solidFill>
              <w14:schemeClr w14:val="tx1"/>
            </w14:solidFill>
          </w14:textFill>
        </w:rPr>
        <w:t>依据残疾人基本康复服务目录及残疾人康复服务项目，针对不同残疾类别、不同康复服务项目，完善康复服务标准、规范。加强康复机构建设，康复业务合理布局，充实职业康复社会康复等功能。依据康复机构建设标准和服务标准，加强区级监督管理职能。完善落实残疾儿童康复服务制度，增加康复服务供给，逐步完善区级儿童康复园功能深度开发。广泛开展残疾人及亲友培训，提升残疾人的康复意识，促进残疾人及家属自我服务能力提升。落实残疾预防行动计划，</w:t>
      </w:r>
      <w:r>
        <w:rPr>
          <w:rFonts w:hint="eastAsia" w:ascii="仿宋_GB2312" w:hAnsi="宋体" w:eastAsia="仿宋_GB2312"/>
          <w:color w:val="000000" w:themeColor="text1"/>
          <w:sz w:val="32"/>
          <w:szCs w:val="32"/>
          <w:highlight w:val="none"/>
          <w14:textFill>
            <w14:solidFill>
              <w14:schemeClr w14:val="tx1"/>
            </w14:solidFill>
          </w14:textFill>
        </w:rPr>
        <w:t>广泛开展残疾预防宣传教育，形成全人群、全生命周期的残疾预防意识。推进资源共享，优化儿童残疾筛查、诊断、治疗与康复救助衔接机制，实现早筛查、早诊断、早干预、早康复的一体化服务管理。</w:t>
      </w:r>
      <w:r>
        <w:rPr>
          <w:rFonts w:hint="eastAsia" w:ascii="仿宋_GB2312" w:hAnsi="宋体" w:eastAsia="仿宋_GB2312" w:cstheme="minorBidi"/>
          <w:color w:val="000000" w:themeColor="text1"/>
          <w:sz w:val="32"/>
          <w:szCs w:val="32"/>
          <w:highlight w:val="none"/>
          <w14:textFill>
            <w14:solidFill>
              <w14:schemeClr w14:val="tx1"/>
            </w14:solidFill>
          </w14:textFill>
        </w:rPr>
        <w:t>完善家庭医生签约服务，做实做细残疾人群基本医疗、基本公共卫生和健康管理等签约服务。</w:t>
      </w:r>
      <w:r>
        <w:rPr>
          <w:rFonts w:hint="eastAsia" w:ascii="仿宋_GB2312" w:hAnsi="宋体" w:eastAsia="仿宋_GB2312"/>
          <w:color w:val="000000" w:themeColor="text1"/>
          <w:sz w:val="32"/>
          <w:szCs w:val="32"/>
          <w:highlight w:val="none"/>
          <w14:textFill>
            <w14:solidFill>
              <w14:schemeClr w14:val="tx1"/>
            </w14:solidFill>
          </w14:textFill>
        </w:rPr>
        <w:t>到2025年，残疾人基本康复服务覆盖率达到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90</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1"/>
        <w:rPr>
          <w:rFonts w:hint="eastAsia" w:ascii="仿宋_GB2312" w:hAnsi="仿宋_GB2312" w:eastAsia="仿宋_GB2312" w:cs="仿宋_GB2312"/>
          <w:b w:val="0"/>
          <w:color w:val="000000" w:themeColor="text1"/>
          <w:sz w:val="32"/>
          <w:szCs w:val="32"/>
          <w:highlight w:val="none"/>
          <w14:textFill>
            <w14:solidFill>
              <w14:schemeClr w14:val="tx1"/>
            </w14:solidFill>
          </w14:textFill>
        </w:rPr>
      </w:pPr>
      <w:bookmarkStart w:id="145" w:name="_Toc16855"/>
      <w:bookmarkStart w:id="146" w:name="_Toc18013"/>
      <w:r>
        <w:rPr>
          <w:rFonts w:hint="eastAsia" w:ascii="黑体" w:hAnsi="黑体" w:eastAsia="黑体" w:cs="黑体"/>
          <w:color w:val="000000" w:themeColor="text1"/>
          <w:sz w:val="32"/>
          <w:szCs w:val="32"/>
          <w:highlight w:val="none"/>
          <w:lang w:eastAsia="zh-CN"/>
          <w14:textFill>
            <w14:solidFill>
              <w14:schemeClr w14:val="tx1"/>
            </w14:solidFill>
          </w14:textFill>
        </w:rPr>
        <w:t>六、</w:t>
      </w:r>
      <w:bookmarkEnd w:id="145"/>
      <w:bookmarkStart w:id="147" w:name="_Toc7013"/>
      <w:bookmarkStart w:id="148" w:name="_Toc90318449"/>
      <w:r>
        <w:rPr>
          <w:rFonts w:hint="eastAsia" w:ascii="黑体" w:hAnsi="黑体" w:eastAsia="黑体" w:cs="黑体"/>
          <w:b w:val="0"/>
          <w:color w:val="000000" w:themeColor="text1"/>
          <w:sz w:val="32"/>
          <w:szCs w:val="32"/>
          <w:highlight w:val="none"/>
          <w14:textFill>
            <w14:solidFill>
              <w14:schemeClr w14:val="tx1"/>
            </w14:solidFill>
          </w14:textFill>
        </w:rPr>
        <w:t>推进健康产业发展</w:t>
      </w:r>
      <w:bookmarkEnd w:id="146"/>
      <w:bookmarkEnd w:id="147"/>
      <w:bookmarkEnd w:id="148"/>
    </w:p>
    <w:p>
      <w:pPr>
        <w:keepNext w:val="0"/>
        <w:keepLines w:val="0"/>
        <w:pageBreakBefore w:val="0"/>
        <w:widowControl/>
        <w:numPr>
          <w:ilvl w:val="-1"/>
          <w:numId w:val="0"/>
        </w:numPr>
        <w:pBdr>
          <w:bottom w:val="single" w:color="FFFFFF" w:sz="4" w:space="31"/>
        </w:pBdr>
        <w:tabs>
          <w:tab w:val="left" w:pos="1440"/>
        </w:tabs>
        <w:kinsoku/>
        <w:wordWrap/>
        <w:topLinePunct w:val="0"/>
        <w:bidi w:val="0"/>
        <w:spacing w:after="0" w:line="560" w:lineRule="exact"/>
        <w:ind w:firstLine="0" w:firstLineChars="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cstheme="minorBidi"/>
          <w:b w:val="0"/>
          <w:color w:val="000000" w:themeColor="text1"/>
          <w:sz w:val="32"/>
          <w:szCs w:val="32"/>
          <w:highlight w:val="none"/>
          <w:lang w:val="en-US" w:eastAsia="zh-CN"/>
          <w14:textFill>
            <w14:solidFill>
              <w14:schemeClr w14:val="tx1"/>
            </w14:solidFill>
          </w14:textFill>
        </w:rPr>
        <w:t xml:space="preserve">    </w:t>
      </w:r>
      <w:bookmarkStart w:id="149" w:name="_Toc6191"/>
      <w:bookmarkStart w:id="150" w:name="_Toc7907"/>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w:t>
      </w:r>
      <w:bookmarkEnd w:id="149"/>
      <w:bookmarkStart w:id="151" w:name="_Toc30566"/>
      <w:bookmarkStart w:id="152" w:name="_Toc90318450"/>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促进</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医药</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健康产业发展</w:t>
      </w:r>
      <w:bookmarkEnd w:id="150"/>
      <w:bookmarkEnd w:id="151"/>
    </w:p>
    <w:p>
      <w:pPr>
        <w:keepNext w:val="0"/>
        <w:keepLines w:val="0"/>
        <w:pageBreakBefore w:val="0"/>
        <w:widowControl/>
        <w:numPr>
          <w:ilvl w:val="255"/>
          <w:numId w:val="0"/>
        </w:numPr>
        <w:pBdr>
          <w:bottom w:val="single" w:color="FFFFFF" w:sz="4" w:space="31"/>
        </w:pBdr>
        <w:tabs>
          <w:tab w:val="left" w:pos="1440"/>
        </w:tabs>
        <w:kinsoku/>
        <w:wordWrap/>
        <w:topLinePunct w:val="0"/>
        <w:bidi w:val="0"/>
        <w:spacing w:after="0" w:line="560" w:lineRule="exact"/>
        <w:ind w:firstLine="640" w:firstLineChars="200"/>
        <w:outlineLvl w:val="9"/>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紧抓健康中国战略实施和医药健康产业链加速整合机遇，发挥既有医药健康产业优势，加大部门与行业间协调配合，支持发展以预防疾病、维护健康为目标的健康产业。围绕生物医药基地、临空经济区建设，坚持错位发展、优势互补，重点发展生物制药、高端医疗器械、创新化药、现代中药、健康服务等产业。加强新型疫苗、基因细胞治疗、高端耗材、手术机器人等关键核心技术攻关，布局AI医疗项目。支持国家医学中心规划建设，引导和支持研究型医院和研究型病房的发展，激发医疗机构科技创新活力，持续提升临床研究和转化能力。</w:t>
      </w:r>
    </w:p>
    <w:p>
      <w:pPr>
        <w:keepNext w:val="0"/>
        <w:keepLines w:val="0"/>
        <w:pageBreakBefore w:val="0"/>
        <w:widowControl/>
        <w:numPr>
          <w:ilvl w:val="0"/>
          <w:numId w:val="1"/>
        </w:numPr>
        <w:pBdr>
          <w:bottom w:val="single" w:color="FFFFFF" w:sz="4" w:space="31"/>
        </w:pBdr>
        <w:tabs>
          <w:tab w:val="left" w:pos="1440"/>
        </w:tabs>
        <w:kinsoku/>
        <w:wordWrap/>
        <w:topLinePunct w:val="0"/>
        <w:bidi w:val="0"/>
        <w:spacing w:after="0"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153" w:name="_Toc27684"/>
      <w:bookmarkStart w:id="154" w:name="_Toc28879"/>
      <w:r>
        <w:rPr>
          <w:rFonts w:hint="eastAsia" w:ascii="楷体_GB2312" w:hAnsi="楷体_GB2312" w:eastAsia="楷体_GB2312" w:cs="楷体_GB2312"/>
          <w:color w:val="000000" w:themeColor="text1"/>
          <w:sz w:val="32"/>
          <w:szCs w:val="32"/>
          <w:highlight w:val="none"/>
          <w14:textFill>
            <w14:solidFill>
              <w14:schemeClr w14:val="tx1"/>
            </w14:solidFill>
          </w14:textFill>
        </w:rPr>
        <w:t>推动区域中医药产业发展</w:t>
      </w:r>
      <w:bookmarkEnd w:id="152"/>
      <w:bookmarkEnd w:id="153"/>
      <w:bookmarkEnd w:id="154"/>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2"/>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55" w:name="_Toc16703"/>
      <w:bookmarkStart w:id="156" w:name="_Hlk87387370"/>
      <w:r>
        <w:rPr>
          <w:rFonts w:hint="eastAsia" w:ascii="仿宋_GB2312" w:hAnsi="仿宋_GB2312" w:eastAsia="仿宋_GB2312" w:cs="仿宋_GB2312"/>
          <w:color w:val="000000" w:themeColor="text1"/>
          <w:sz w:val="32"/>
          <w:szCs w:val="32"/>
          <w:highlight w:val="none"/>
          <w14:textFill>
            <w14:solidFill>
              <w14:schemeClr w14:val="tx1"/>
            </w14:solidFill>
          </w14:textFill>
        </w:rPr>
        <w:t>推动中医药机构积极参与“服贸会”等重要活动服务保障，强化中医药知识产权保护和利用。加快医药成果转移转化支撑服务体系建设，鼓励企事业单位开展中医药科技创新，开展基于经典名方、医疗机构中药制剂等的中药新药研发，落实有特色实效的中药院内制剂应用，推进特色制剂商业化。弘扬中医药文化，将中医药文化理念融入大众健康生活，依托区域中医药资源，培育精品药膳品牌。将中医药文化与健康旅游产业结合发展，鼓励企事业单位发展相关的产品与服务项目。</w:t>
      </w:r>
      <w:bookmarkEnd w:id="155"/>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157" w:name="_Toc24133"/>
      <w:bookmarkStart w:id="158" w:name="_Toc13121"/>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bookmarkEnd w:id="157"/>
      <w:bookmarkStart w:id="159" w:name="_Toc18837"/>
      <w:bookmarkStart w:id="160" w:name="_Toc90318451"/>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全面优化体育产业整体结构</w:t>
      </w:r>
      <w:bookmarkEnd w:id="156"/>
      <w:bookmarkEnd w:id="158"/>
      <w:bookmarkEnd w:id="159"/>
      <w:bookmarkEnd w:id="160"/>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outlineLvl w:val="9"/>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打造现代体育产业体系。充分发挥全民健身对体育产业的促进作用，加快提升健身休闲、竞赛表演等体育服务业比重，开发覆盖全生命周期的生活性体育服务</w:t>
      </w:r>
      <w:r>
        <w:rPr>
          <w:rFonts w:ascii="仿宋_GB2312" w:hAnsi="Times New Roman" w:eastAsia="仿宋_GB2312" w:cs="Times New Roman"/>
          <w:color w:val="000000" w:themeColor="text1"/>
          <w:sz w:val="32"/>
          <w:szCs w:val="32"/>
          <w:highlight w:val="none"/>
          <w14:textFill>
            <w14:solidFill>
              <w14:schemeClr w14:val="tx1"/>
            </w14:solidFill>
          </w14:textFill>
        </w:rPr>
        <w:t>,加快发展体育中介咨询、体育产品研发设计等生产性体育服务，着力打造一批优秀体育企业、示范场馆和品牌赛事</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释放体育消费潜力，助力国际消费中心城市建设</w:t>
      </w:r>
      <w:r>
        <w:rPr>
          <w:rFonts w:ascii="仿宋_GB2312" w:hAnsi="Times New Roman" w:eastAsia="仿宋_GB2312" w:cs="Times New Roman"/>
          <w:color w:val="000000" w:themeColor="text1"/>
          <w:sz w:val="32"/>
          <w:szCs w:val="32"/>
          <w:highlight w:val="none"/>
          <w14:textFill>
            <w14:solidFill>
              <w14:schemeClr w14:val="tx1"/>
            </w14:solidFill>
          </w14:textFill>
        </w:rPr>
        <w:t>。</w:t>
      </w:r>
      <w:bookmarkStart w:id="161" w:name="_Hlk87387955"/>
      <w:r>
        <w:rPr>
          <w:rFonts w:hint="eastAsia" w:ascii="仿宋_GB2312" w:hAnsi="Times New Roman" w:eastAsia="仿宋_GB2312" w:cs="Times New Roman"/>
          <w:color w:val="000000" w:themeColor="text1"/>
          <w:sz w:val="32"/>
          <w:szCs w:val="32"/>
          <w:highlight w:val="none"/>
          <w14:textFill>
            <w14:solidFill>
              <w14:schemeClr w14:val="tx1"/>
            </w14:solidFill>
          </w14:textFill>
        </w:rPr>
        <w:t>积极促进体育资源和生产要素向优质企业集中</w:t>
      </w:r>
      <w:r>
        <w:rPr>
          <w:rFonts w:ascii="仿宋_GB2312" w:hAnsi="Times New Roman" w:eastAsia="仿宋_GB2312" w:cs="Times New Roman"/>
          <w:color w:val="000000" w:themeColor="text1"/>
          <w:sz w:val="32"/>
          <w:szCs w:val="32"/>
          <w:highlight w:val="none"/>
          <w14:textFill>
            <w14:solidFill>
              <w14:schemeClr w14:val="tx1"/>
            </w14:solidFill>
          </w14:textFill>
        </w:rPr>
        <w:t>,支持引导中小型体育企业向“专精特新”方向发展。</w:t>
      </w:r>
      <w:bookmarkEnd w:id="161"/>
      <w:r>
        <w:rPr>
          <w:rFonts w:ascii="仿宋_GB2312" w:hAnsi="Times New Roman" w:eastAsia="仿宋_GB2312" w:cs="Times New Roman"/>
          <w:color w:val="000000" w:themeColor="text1"/>
          <w:sz w:val="32"/>
          <w:szCs w:val="32"/>
          <w:highlight w:val="none"/>
          <w14:textFill>
            <w14:solidFill>
              <w14:schemeClr w14:val="tx1"/>
            </w14:solidFill>
          </w14:textFill>
        </w:rPr>
        <w:t>根据消费人群多元化需求，</w:t>
      </w:r>
      <w:r>
        <w:rPr>
          <w:rFonts w:hint="eastAsia" w:ascii="仿宋_GB2312" w:hAnsi="Times New Roman" w:eastAsia="仿宋_GB2312" w:cs="Times New Roman"/>
          <w:color w:val="000000" w:themeColor="text1"/>
          <w:sz w:val="32"/>
          <w:szCs w:val="32"/>
          <w:highlight w:val="none"/>
          <w14:textFill>
            <w14:solidFill>
              <w14:schemeClr w14:val="tx1"/>
            </w14:solidFill>
          </w14:textFill>
        </w:rPr>
        <w:t>重点提升“三大球”、“三小球”、游泳等项目服务水平，拓展击剑、马术、冰球、皮划艇等项目消费空间。</w:t>
      </w:r>
      <w:r>
        <w:rPr>
          <w:rFonts w:ascii="仿宋_GB2312" w:hAnsi="Times New Roman" w:eastAsia="仿宋_GB2312" w:cs="Times New Roman"/>
          <w:color w:val="000000" w:themeColor="text1"/>
          <w:sz w:val="32"/>
          <w:szCs w:val="32"/>
          <w:highlight w:val="none"/>
          <w14:textFill>
            <w14:solidFill>
              <w14:schemeClr w14:val="tx1"/>
            </w14:solidFill>
          </w14:textFill>
        </w:rPr>
        <w:t>全方位开发体育健身娱乐项目，形成层次丰富、各具特色的体育服务业发展格局。</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162" w:name="_Toc14077"/>
      <w:bookmarkStart w:id="163" w:name="_Toc20856"/>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四</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bookmarkEnd w:id="162"/>
      <w:bookmarkStart w:id="164" w:name="_Toc17258"/>
      <w:bookmarkStart w:id="165" w:name="_Toc90318452"/>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促进体育产业集聚发展</w:t>
      </w:r>
      <w:bookmarkEnd w:id="163"/>
      <w:bookmarkEnd w:id="164"/>
      <w:bookmarkEnd w:id="165"/>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outlineLvl w:val="9"/>
        <w:rPr>
          <w:rFonts w:hint="eastAsia" w:ascii="仿宋_GB2312" w:hAnsi="宋体" w:eastAsia="仿宋_GB2312" w:cstheme="minorBidi"/>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坚持重大产业项目带动战略，结合区域发展规划，鼓励各</w:t>
      </w:r>
      <w:r>
        <w:rPr>
          <w:rFonts w:hint="eastAsia" w:ascii="仿宋_GB2312" w:hAnsi="宋体" w:eastAsia="仿宋_GB2312"/>
          <w:color w:val="000000" w:themeColor="text1"/>
          <w:sz w:val="32"/>
          <w:szCs w:val="32"/>
          <w:highlight w:val="none"/>
          <w:lang w:eastAsia="zh-CN"/>
          <w14:textFill>
            <w14:solidFill>
              <w14:schemeClr w14:val="tx1"/>
            </w14:solidFill>
          </w14:textFill>
        </w:rPr>
        <w:t>镇街</w:t>
      </w:r>
      <w:r>
        <w:rPr>
          <w:rFonts w:hint="eastAsia" w:ascii="仿宋_GB2312" w:hAnsi="宋体" w:eastAsia="仿宋_GB2312"/>
          <w:color w:val="000000" w:themeColor="text1"/>
          <w:sz w:val="32"/>
          <w:szCs w:val="32"/>
          <w:highlight w:val="none"/>
          <w14:textFill>
            <w14:solidFill>
              <w14:schemeClr w14:val="tx1"/>
            </w14:solidFill>
          </w14:textFill>
        </w:rPr>
        <w:t>因地制宜、突出特色，打造品牌、延伸链条，形成特色鲜明、各</w:t>
      </w:r>
      <w:r>
        <w:rPr>
          <w:rFonts w:hint="eastAsia" w:ascii="仿宋_GB2312" w:hAnsi="宋体" w:eastAsia="仿宋_GB2312" w:cstheme="minorBidi"/>
          <w:color w:val="000000" w:themeColor="text1"/>
          <w:sz w:val="32"/>
          <w:szCs w:val="32"/>
          <w:highlight w:val="none"/>
          <w14:textFill>
            <w14:solidFill>
              <w14:schemeClr w14:val="tx1"/>
            </w14:solidFill>
          </w14:textFill>
        </w:rPr>
        <w:t>具优势的体育产业经济带。打造一批主业突出、集聚效应明显、具有广泛影响力的体育产业聚集区和聚集带，带动体育产业全面发展。支持重点体育企业开展跨地区、跨行业、跨所有制兼并重组，打造一批具有较强竞争实力的体育领军企业。</w:t>
      </w:r>
    </w:p>
    <w:p>
      <w:pPr>
        <w:keepNext w:val="0"/>
        <w:keepLines w:val="0"/>
        <w:pageBreakBefore w:val="0"/>
        <w:widowControl/>
        <w:numPr>
          <w:ilvl w:val="255"/>
          <w:numId w:val="0"/>
        </w:numPr>
        <w:pBdr>
          <w:bottom w:val="single" w:color="FFFFFF" w:sz="4" w:space="31"/>
        </w:pBdr>
        <w:tabs>
          <w:tab w:val="left" w:pos="1440"/>
        </w:tabs>
        <w:kinsoku/>
        <w:wordWrap/>
        <w:topLinePunct w:val="0"/>
        <w:bidi w:val="0"/>
        <w:spacing w:before="0" w:after="0" w:line="560" w:lineRule="exact"/>
        <w:ind w:firstLine="640" w:firstLineChars="20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166" w:name="_Toc14371"/>
      <w:bookmarkStart w:id="167" w:name="_Toc32659"/>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五</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bookmarkEnd w:id="166"/>
      <w:bookmarkStart w:id="168" w:name="_Toc90318453"/>
      <w:bookmarkStart w:id="169" w:name="_Toc1063"/>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发展体卫融合服务产业</w:t>
      </w:r>
      <w:bookmarkEnd w:id="167"/>
      <w:bookmarkEnd w:id="168"/>
      <w:bookmarkEnd w:id="169"/>
    </w:p>
    <w:bookmarkEnd w:id="80"/>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val="0"/>
        <w:snapToGrid w:val="0"/>
        <w:spacing w:line="560" w:lineRule="exact"/>
        <w:ind w:firstLine="640" w:firstLineChars="200"/>
        <w:rPr>
          <w:rFonts w:hint="eastAsia" w:ascii="仿宋_GB2312" w:hAnsi="宋体" w:eastAsia="仿宋_GB2312" w:cstheme="minorBidi"/>
          <w:color w:val="000000" w:themeColor="text1"/>
          <w:sz w:val="32"/>
          <w:szCs w:val="32"/>
          <w:highlight w:val="none"/>
          <w14:textFill>
            <w14:solidFill>
              <w14:schemeClr w14:val="tx1"/>
            </w14:solidFill>
          </w14:textFill>
        </w:rPr>
      </w:pPr>
      <w:bookmarkStart w:id="170" w:name="_Toc49505237"/>
      <w:bookmarkStart w:id="171" w:name="_Toc6456"/>
      <w:r>
        <w:rPr>
          <w:rFonts w:hint="eastAsia" w:ascii="仿宋_GB2312" w:hAnsi="仿宋_GB2312" w:eastAsia="仿宋_GB2312" w:cs="仿宋_GB2312"/>
          <w:color w:val="000000" w:themeColor="text1"/>
          <w:sz w:val="32"/>
          <w:szCs w:val="32"/>
          <w:highlight w:val="none"/>
          <w14:textFill>
            <w14:solidFill>
              <w14:schemeClr w14:val="tx1"/>
            </w14:solidFill>
          </w14:textFill>
        </w:rPr>
        <w:t>大力发展疾病预防、健康体检、健康咨询、慢病管理、运动康复等服务业态。推动各市场主体利用资源优势，因地制宜打造以体卫融合、康复疗养为特色的健身健康产业和养生养老产业。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支持和鼓励科研院所、知名企业，研发生产科技含量高、个性化的新型体卫融合设施设备和产品，推进体卫融合理论、科技和实践创新。</w:t>
      </w:r>
      <w:r>
        <w:rPr>
          <w:rFonts w:hint="eastAsia" w:ascii="仿宋_GB2312" w:hAnsi="仿宋_GB2312" w:eastAsia="仿宋_GB2312" w:cs="仿宋_GB2312"/>
          <w:color w:val="000000" w:themeColor="text1"/>
          <w:sz w:val="32"/>
          <w:szCs w:val="32"/>
          <w:highlight w:val="none"/>
          <w14:textFill>
            <w14:solidFill>
              <w14:schemeClr w14:val="tx1"/>
            </w14:solidFill>
          </w14:textFill>
        </w:rPr>
        <w:t>以政府采购等方式支持采用新工艺、新材料、新技术，创新体卫融合服务解决方案。鼓励体检机构、健身机构合作经营、连锁经营，开展体卫融合服务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促进体卫融合服务机构向基层覆盖延伸。</w:t>
      </w:r>
    </w:p>
    <w:bookmarkEnd w:id="170"/>
    <w:bookmarkEnd w:id="171"/>
    <w:p>
      <w:pPr>
        <w:keepNext w:val="0"/>
        <w:keepLines w:val="0"/>
        <w:pageBreakBefore w:val="0"/>
        <w:widowControl/>
        <w:numPr>
          <w:ilvl w:val="255"/>
          <w:numId w:val="0"/>
        </w:numPr>
        <w:pBdr>
          <w:bottom w:val="single" w:color="FFFFFF" w:sz="4" w:space="31"/>
        </w:pBdr>
        <w:kinsoku/>
        <w:wordWrap/>
        <w:topLinePunct w:val="0"/>
        <w:bidi w:val="0"/>
        <w:adjustRightInd/>
        <w:snapToGrid/>
        <w:spacing w:line="560" w:lineRule="exact"/>
        <w:ind w:firstLine="640" w:firstLineChars="200"/>
        <w:outlineLvl w:val="1"/>
        <w:rPr>
          <w:color w:val="000000" w:themeColor="text1"/>
          <w:sz w:val="32"/>
          <w:szCs w:val="32"/>
          <w:highlight w:val="none"/>
          <w14:textFill>
            <w14:solidFill>
              <w14:schemeClr w14:val="tx1"/>
            </w14:solidFill>
          </w14:textFill>
        </w:rPr>
      </w:pPr>
      <w:bookmarkStart w:id="172" w:name="_Toc13957"/>
      <w:bookmarkStart w:id="173" w:name="_Toc24443"/>
      <w:bookmarkStart w:id="174" w:name="_Toc663"/>
      <w:bookmarkStart w:id="175" w:name="_Toc10637"/>
      <w:bookmarkStart w:id="176" w:name="_Toc27313"/>
      <w:bookmarkStart w:id="177" w:name="_Toc13827"/>
      <w:bookmarkStart w:id="178" w:name="_Toc90318455"/>
      <w:r>
        <w:rPr>
          <w:rFonts w:hint="eastAsia" w:ascii="黑体" w:hAnsi="黑体" w:eastAsia="黑体" w:cs="黑体"/>
          <w:bCs w:val="0"/>
          <w:color w:val="000000" w:themeColor="text1"/>
          <w:sz w:val="32"/>
          <w:szCs w:val="32"/>
          <w:highlight w:val="none"/>
          <w14:textFill>
            <w14:solidFill>
              <w14:schemeClr w14:val="tx1"/>
            </w14:solidFill>
          </w14:textFill>
        </w:rPr>
        <w:t>七、加强</w:t>
      </w:r>
      <w:bookmarkEnd w:id="172"/>
      <w:bookmarkEnd w:id="173"/>
      <w:bookmarkEnd w:id="174"/>
      <w:bookmarkEnd w:id="175"/>
      <w:bookmarkStart w:id="179" w:name="_Toc49505243"/>
      <w:r>
        <w:rPr>
          <w:rFonts w:hint="eastAsia" w:ascii="黑体" w:hAnsi="黑体" w:eastAsia="黑体" w:cs="黑体"/>
          <w:bCs w:val="0"/>
          <w:color w:val="000000" w:themeColor="text1"/>
          <w:sz w:val="32"/>
          <w:szCs w:val="32"/>
          <w:highlight w:val="none"/>
          <w14:textFill>
            <w14:solidFill>
              <w14:schemeClr w14:val="tx1"/>
            </w14:solidFill>
          </w14:textFill>
        </w:rPr>
        <w:t>健康人才支撑</w:t>
      </w:r>
      <w:bookmarkEnd w:id="176"/>
      <w:bookmarkEnd w:id="177"/>
      <w:bookmarkEnd w:id="178"/>
    </w:p>
    <w:p>
      <w:pPr>
        <w:keepNext w:val="0"/>
        <w:keepLines w:val="0"/>
        <w:pageBreakBefore w:val="0"/>
        <w:widowControl/>
        <w:numPr>
          <w:ilvl w:val="255"/>
          <w:numId w:val="0"/>
        </w:numPr>
        <w:pBdr>
          <w:bottom w:val="single" w:color="FFFFFF" w:sz="4" w:space="31"/>
        </w:pBdr>
        <w:tabs>
          <w:tab w:val="left" w:pos="1440"/>
        </w:tabs>
        <w:kinsoku/>
        <w:wordWrap/>
        <w:topLinePunct w:val="0"/>
        <w:bidi w:val="0"/>
        <w:spacing w:line="560" w:lineRule="exact"/>
        <w:ind w:firstLine="640" w:firstLineChars="200"/>
        <w:rPr>
          <w:rFonts w:hint="default" w:ascii="仿宋_GB2312" w:hAnsi="宋体" w:eastAsia="仿宋_GB2312"/>
          <w:color w:val="000000" w:themeColor="text1"/>
          <w:sz w:val="32"/>
          <w:szCs w:val="32"/>
          <w:highlight w:val="none"/>
          <w14:textFill>
            <w14:solidFill>
              <w14:schemeClr w14:val="tx1"/>
            </w14:solidFill>
          </w14:textFill>
        </w:rPr>
      </w:pPr>
      <w:r>
        <w:rPr>
          <w:rFonts w:hint="default" w:ascii="仿宋_GB2312" w:hAnsi="宋体" w:eastAsia="仿宋_GB2312"/>
          <w:color w:val="000000" w:themeColor="text1"/>
          <w:sz w:val="32"/>
          <w:szCs w:val="32"/>
          <w:highlight w:val="none"/>
          <w14:textFill>
            <w14:solidFill>
              <w14:schemeClr w14:val="tx1"/>
            </w14:solidFill>
          </w14:textFill>
        </w:rPr>
        <w:t>坚持以深化医药卫生体制改革和人民群众健康需要为导向，树立“人才强医”“创新驱动”和“科学发展”理念。不断完善人才战略的顶层设计，遵循人才成长规律，强化人才和学科为基础的内涵建设，以整合资源、搭建平台、团队引领、精细管理为主要措施，推动人才的“选</w:t>
      </w:r>
      <w:r>
        <w:rPr>
          <w:rFonts w:hint="eastAsia" w:ascii="仿宋_GB2312" w:hAnsi="宋体" w:eastAsia="仿宋_GB2312"/>
          <w:color w:val="000000" w:themeColor="text1"/>
          <w:sz w:val="32"/>
          <w:szCs w:val="32"/>
          <w:highlight w:val="none"/>
          <w14:textFill>
            <w14:solidFill>
              <w14:schemeClr w14:val="tx1"/>
            </w14:solidFill>
          </w14:textFill>
        </w:rPr>
        <w:t>育用留</w:t>
      </w:r>
      <w:r>
        <w:rPr>
          <w:rFonts w:hint="default" w:ascii="仿宋_GB2312" w:hAnsi="宋体" w:eastAsia="仿宋_GB2312"/>
          <w:color w:val="000000" w:themeColor="text1"/>
          <w:sz w:val="32"/>
          <w:szCs w:val="32"/>
          <w:highlight w:val="none"/>
          <w14:textFill>
            <w14:solidFill>
              <w14:schemeClr w14:val="tx1"/>
            </w14:solidFill>
          </w14:textFill>
        </w:rPr>
        <w:t>”，建立一支符合卫生健康改革发展需要，具有核心竞争力的高水平、多层次人才队伍。</w:t>
      </w:r>
      <w:bookmarkEnd w:id="179"/>
      <w:bookmarkStart w:id="180" w:name="_Toc55585753"/>
      <w:bookmarkStart w:id="181" w:name="_Toc21508"/>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182" w:name="_Toc15281"/>
      <w:bookmarkStart w:id="183" w:name="_Toc23033"/>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w:t>
      </w:r>
      <w:bookmarkEnd w:id="182"/>
      <w:bookmarkStart w:id="184" w:name="_Toc32449"/>
      <w:bookmarkStart w:id="185" w:name="_Toc31685"/>
      <w:bookmarkStart w:id="186" w:name="_Toc90318456"/>
      <w:bookmarkStart w:id="187" w:name="_Toc31963"/>
      <w:r>
        <w:rPr>
          <w:rFonts w:hint="default" w:ascii="楷体_GB2312" w:hAnsi="楷体_GB2312" w:eastAsia="楷体_GB2312" w:cs="楷体_GB2312"/>
          <w:color w:val="000000" w:themeColor="text1"/>
          <w:sz w:val="32"/>
          <w:szCs w:val="32"/>
          <w:highlight w:val="none"/>
          <w14:textFill>
            <w14:solidFill>
              <w14:schemeClr w14:val="tx1"/>
            </w14:solidFill>
          </w14:textFill>
        </w:rPr>
        <w:t>加</w:t>
      </w:r>
      <w:bookmarkEnd w:id="180"/>
      <w:r>
        <w:rPr>
          <w:rFonts w:hint="default" w:ascii="楷体_GB2312" w:hAnsi="楷体_GB2312" w:eastAsia="楷体_GB2312" w:cs="楷体_GB2312"/>
          <w:color w:val="000000" w:themeColor="text1"/>
          <w:sz w:val="32"/>
          <w:szCs w:val="32"/>
          <w:highlight w:val="none"/>
          <w14:textFill>
            <w14:solidFill>
              <w14:schemeClr w14:val="tx1"/>
            </w14:solidFill>
          </w14:textFill>
        </w:rPr>
        <w:t>大人才引进力度，拓宽人才引进渠道</w:t>
      </w:r>
      <w:bookmarkEnd w:id="181"/>
      <w:bookmarkEnd w:id="183"/>
      <w:bookmarkEnd w:id="184"/>
      <w:bookmarkEnd w:id="185"/>
      <w:bookmarkEnd w:id="186"/>
      <w:bookmarkEnd w:id="187"/>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rPr>
          <w:rFonts w:hint="eastAsia"/>
          <w:color w:val="000000" w:themeColor="text1"/>
          <w:sz w:val="32"/>
          <w:szCs w:val="32"/>
          <w:highlight w:val="none"/>
          <w14:textFill>
            <w14:solidFill>
              <w14:schemeClr w14:val="tx1"/>
            </w14:solidFill>
          </w14:textFill>
        </w:rPr>
      </w:pPr>
      <w:r>
        <w:rPr>
          <w:rFonts w:hint="default" w:ascii="仿宋_GB2312" w:hAnsi="宋体" w:eastAsia="仿宋_GB2312"/>
          <w:color w:val="000000" w:themeColor="text1"/>
          <w:sz w:val="32"/>
          <w:szCs w:val="32"/>
          <w:highlight w:val="none"/>
          <w14:textFill>
            <w14:solidFill>
              <w14:schemeClr w14:val="tx1"/>
            </w14:solidFill>
          </w14:textFill>
        </w:rPr>
        <w:t>创新高层次人才引进方式，探索建立柔性人才引进机制，形成“不求所有、但求所用”人才共享，落实高端及紧缺人才扶持奖励政策，加强紧缺学科人才招聘及转岗。加大应届毕业生校园招聘力度，鼓励支持公立医院用人自主权，打造一支引得来、留得住的卫生人才队伍。加强定向生培养，补充基层医疗卫生人才。鼓励各医疗机构通过社会招聘、部门转岗、购买服务等方式配置专职医务社会工作者，通过招募或项目合作等方式，引导社会志愿者、社区工作者参与医务社会工作。加大高层次、高技术、复合型体育人才的引进</w:t>
      </w:r>
      <w:r>
        <w:rPr>
          <w:rFonts w:hint="default" w:ascii="仿宋_GB2312" w:hAnsi="宋体" w:eastAsia="仿宋_GB2312"/>
          <w:color w:val="000000" w:themeColor="text1"/>
          <w:sz w:val="32"/>
          <w:szCs w:val="32"/>
          <w:highlight w:val="none"/>
          <w:lang w:eastAsia="zh-CN"/>
          <w14:textFill>
            <w14:solidFill>
              <w14:schemeClr w14:val="tx1"/>
            </w14:solidFill>
          </w14:textFill>
        </w:rPr>
        <w:t>力度，</w:t>
      </w:r>
      <w:r>
        <w:rPr>
          <w:rFonts w:hint="default" w:ascii="仿宋_GB2312" w:hAnsi="宋体" w:eastAsia="仿宋_GB2312"/>
          <w:color w:val="000000" w:themeColor="text1"/>
          <w:sz w:val="32"/>
          <w:szCs w:val="32"/>
          <w:highlight w:val="none"/>
          <w14:textFill>
            <w14:solidFill>
              <w14:schemeClr w14:val="tx1"/>
            </w14:solidFill>
          </w14:textFill>
        </w:rPr>
        <w:t>完善人才引入评估体系和激励机制，通过奖励、津贴、协议、项目等分配政策，增强福利待遇，保障高端体育人才聚集。</w:t>
      </w:r>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2"/>
        <w:rPr>
          <w:rFonts w:hint="default" w:ascii="楷体_GB2312" w:hAnsi="楷体_GB2312" w:eastAsia="楷体_GB2312" w:cs="楷体_GB2312"/>
          <w:color w:val="000000" w:themeColor="text1"/>
          <w:sz w:val="32"/>
          <w:szCs w:val="32"/>
          <w:highlight w:val="none"/>
          <w14:textFill>
            <w14:solidFill>
              <w14:schemeClr w14:val="tx1"/>
            </w14:solidFill>
          </w14:textFill>
        </w:rPr>
      </w:pPr>
      <w:bookmarkStart w:id="188" w:name="_Toc3684"/>
      <w:bookmarkStart w:id="189" w:name="_Toc1900"/>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w:t>
      </w:r>
      <w:bookmarkEnd w:id="188"/>
      <w:bookmarkStart w:id="190" w:name="_Toc19297"/>
      <w:bookmarkStart w:id="191" w:name="_Toc16884"/>
      <w:bookmarkStart w:id="192" w:name="_Toc90318457"/>
      <w:bookmarkStart w:id="193" w:name="_Toc24116"/>
      <w:bookmarkStart w:id="194" w:name="_Toc15021"/>
      <w:bookmarkStart w:id="195" w:name="_Toc55585754"/>
      <w:r>
        <w:rPr>
          <w:rFonts w:hint="default" w:ascii="楷体_GB2312" w:hAnsi="楷体_GB2312" w:eastAsia="楷体_GB2312" w:cs="楷体_GB2312"/>
          <w:color w:val="000000" w:themeColor="text1"/>
          <w:sz w:val="32"/>
          <w:szCs w:val="32"/>
          <w:highlight w:val="none"/>
          <w14:textFill>
            <w14:solidFill>
              <w14:schemeClr w14:val="tx1"/>
            </w14:solidFill>
          </w14:textFill>
        </w:rPr>
        <w:t>创新干部人才培养机制，拓宽事业发展平台</w:t>
      </w:r>
      <w:bookmarkEnd w:id="189"/>
      <w:bookmarkEnd w:id="190"/>
      <w:bookmarkEnd w:id="191"/>
      <w:bookmarkEnd w:id="192"/>
      <w:bookmarkEnd w:id="193"/>
      <w:bookmarkEnd w:id="194"/>
      <w:bookmarkEnd w:id="195"/>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3" w:firstLineChars="200"/>
        <w:rPr>
          <w:rFonts w:hint="default" w:ascii="仿宋_GB2312" w:hAnsi="宋体" w:eastAsia="仿宋_GB2312"/>
          <w:color w:val="000000" w:themeColor="text1"/>
          <w:sz w:val="32"/>
          <w:szCs w:val="32"/>
          <w:highlight w:val="none"/>
          <w14:textFill>
            <w14:solidFill>
              <w14:schemeClr w14:val="tx1"/>
            </w14:solidFill>
          </w14:textFill>
        </w:rPr>
      </w:pPr>
      <w:r>
        <w:rPr>
          <w:rFonts w:hint="default" w:ascii="仿宋_GB2312" w:hAnsi="宋体" w:eastAsia="仿宋_GB2312"/>
          <w:b/>
          <w:bCs/>
          <w:color w:val="000000" w:themeColor="text1"/>
          <w:sz w:val="32"/>
          <w:szCs w:val="32"/>
          <w:highlight w:val="none"/>
          <w14:textFill>
            <w14:solidFill>
              <w14:schemeClr w14:val="tx1"/>
            </w14:solidFill>
          </w14:textFill>
        </w:rPr>
        <w:t>建立不同层次人才选拔培养工程。</w:t>
      </w:r>
      <w:r>
        <w:rPr>
          <w:rFonts w:hint="default" w:ascii="仿宋_GB2312" w:hAnsi="宋体" w:eastAsia="仿宋_GB2312"/>
          <w:color w:val="000000" w:themeColor="text1"/>
          <w:sz w:val="32"/>
          <w:szCs w:val="32"/>
          <w:highlight w:val="none"/>
          <w14:textFill>
            <w14:solidFill>
              <w14:schemeClr w14:val="tx1"/>
            </w14:solidFill>
          </w14:textFill>
        </w:rPr>
        <w:t>加大专业技术人才培养力度，加强国内外交流。推荐公共卫生领域骨干人才参与“北京学者”“科技新星”“优秀人才培养资助”等市级人才项目评选。做好“新国门”领军人才、“优秀青年人才”“大兴卫生首席专家”等评选，通过名医工作室、中医继承工作室等平台，培养一批卫生健康领域骨干人才。</w:t>
      </w:r>
      <w:r>
        <w:rPr>
          <w:rFonts w:ascii="仿宋_GB2312" w:hAnsi="宋体" w:eastAsia="仿宋_GB2312"/>
          <w:color w:val="000000" w:themeColor="text1"/>
          <w:sz w:val="32"/>
          <w:szCs w:val="32"/>
          <w:highlight w:val="none"/>
          <w14:textFill>
            <w14:solidFill>
              <w14:schemeClr w14:val="tx1"/>
            </w14:solidFill>
          </w14:textFill>
        </w:rPr>
        <w:t>统筹推进各类人才队伍协调发展，</w:t>
      </w:r>
      <w:r>
        <w:rPr>
          <w:rFonts w:hint="default" w:ascii="仿宋_GB2312" w:hAnsi="宋体" w:eastAsia="仿宋_GB2312"/>
          <w:color w:val="000000" w:themeColor="text1"/>
          <w:sz w:val="32"/>
          <w:szCs w:val="32"/>
          <w:highlight w:val="none"/>
          <w14:textFill>
            <w14:solidFill>
              <w14:schemeClr w14:val="tx1"/>
            </w14:solidFill>
          </w14:textFill>
        </w:rPr>
        <w:t>注重发挥领军人才的作用，加强技术创新和成果推广，推动优势学科与专业达到一流水平。</w:t>
      </w:r>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3" w:firstLineChars="20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ascii="仿宋_GB2312" w:hAnsi="宋体" w:eastAsia="仿宋_GB2312"/>
          <w:b/>
          <w:bCs/>
          <w:color w:val="000000" w:themeColor="text1"/>
          <w:sz w:val="32"/>
          <w:szCs w:val="32"/>
          <w:highlight w:val="none"/>
          <w14:textFill>
            <w14:solidFill>
              <w14:schemeClr w14:val="tx1"/>
            </w14:solidFill>
          </w14:textFill>
        </w:rPr>
        <w:t>加强干部</w:t>
      </w:r>
      <w:r>
        <w:rPr>
          <w:rFonts w:hint="default" w:ascii="仿宋_GB2312" w:hAnsi="宋体" w:eastAsia="仿宋_GB2312"/>
          <w:b/>
          <w:bCs/>
          <w:color w:val="000000" w:themeColor="text1"/>
          <w:sz w:val="32"/>
          <w:szCs w:val="32"/>
          <w:highlight w:val="none"/>
          <w14:textFill>
            <w14:solidFill>
              <w14:schemeClr w14:val="tx1"/>
            </w14:solidFill>
          </w14:textFill>
        </w:rPr>
        <w:t>人才</w:t>
      </w:r>
      <w:r>
        <w:rPr>
          <w:rFonts w:ascii="仿宋_GB2312" w:hAnsi="宋体" w:eastAsia="仿宋_GB2312"/>
          <w:b/>
          <w:bCs/>
          <w:color w:val="000000" w:themeColor="text1"/>
          <w:sz w:val="32"/>
          <w:szCs w:val="32"/>
          <w:highlight w:val="none"/>
          <w14:textFill>
            <w14:solidFill>
              <w14:schemeClr w14:val="tx1"/>
            </w14:solidFill>
          </w14:textFill>
        </w:rPr>
        <w:t>队伍建设</w:t>
      </w:r>
      <w:r>
        <w:rPr>
          <w:rFonts w:hint="default" w:ascii="仿宋_GB2312" w:hAnsi="宋体" w:eastAsia="仿宋_GB2312"/>
          <w:b/>
          <w:bCs/>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严格落实干部选拔任用有关规定，进一步规范科级干部选拔任用工作，坚持好干部标准，做好干部选拔、培养与考评，加强干部管理能力提升培训；建立职业化、专业化医院管理队伍</w:t>
      </w:r>
      <w:r>
        <w:rPr>
          <w:rFonts w:hint="default" w:ascii="仿宋_GB2312" w:hAnsi="宋体" w:eastAsia="仿宋_GB2312"/>
          <w:color w:val="000000" w:themeColor="text1"/>
          <w:sz w:val="32"/>
          <w:szCs w:val="32"/>
          <w:highlight w:val="none"/>
          <w14:textFill>
            <w14:solidFill>
              <w14:schemeClr w14:val="tx1"/>
            </w14:solidFill>
          </w14:textFill>
        </w:rPr>
        <w:t>；健全规模适度、结构合理的优秀年轻干部队伍。针对不同专业类别医疗卫生人才，采取相应的培养措施，搭建发展平台，鼓励和支持开展新业务、新技术，发挥团队力量，实现学科发展与人才建设互促共进。大力培养高起点的优秀专业人才队伍，注重青年学科骨干培养，为形成结构合理的人才梯队、实现学科的可持续发展提供坚实保障。</w:t>
      </w:r>
      <w:bookmarkStart w:id="196" w:name="_Toc55585755"/>
      <w:bookmarkStart w:id="197" w:name="_Toc10200"/>
      <w:r>
        <w:rPr>
          <w:rFonts w:hint="default" w:ascii="仿宋_GB2312" w:hAnsi="宋体" w:eastAsia="仿宋_GB2312"/>
          <w:color w:val="000000" w:themeColor="text1"/>
          <w:sz w:val="32"/>
          <w:szCs w:val="32"/>
          <w:highlight w:val="none"/>
          <w14:textFill>
            <w14:solidFill>
              <w14:schemeClr w14:val="tx1"/>
            </w14:solidFill>
          </w14:textFill>
        </w:rPr>
        <w:t>加强与高校合作，开展国际国内合作，多渠道培养复合型体育人才；统筹推进体育管理人才、竞技体育专业人才、社会体育指导员、体育产业人才的队伍建设</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198" w:name="_Toc5268"/>
      <w:bookmarkStart w:id="199" w:name="_Toc9634"/>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w:t>
      </w:r>
      <w:bookmarkEnd w:id="196"/>
      <w:bookmarkEnd w:id="198"/>
      <w:bookmarkStart w:id="200" w:name="_Toc55585756"/>
      <w:bookmarkStart w:id="201" w:name="_Toc90318458"/>
      <w:bookmarkStart w:id="202" w:name="_Toc27659"/>
      <w:bookmarkStart w:id="203" w:name="_Toc30290"/>
      <w:bookmarkStart w:id="204" w:name="_Toc9584"/>
      <w:r>
        <w:rPr>
          <w:rFonts w:hint="eastAsia" w:ascii="楷体_GB2312" w:hAnsi="楷体_GB2312" w:eastAsia="楷体_GB2312" w:cs="楷体_GB2312"/>
          <w:color w:val="000000" w:themeColor="text1"/>
          <w:sz w:val="32"/>
          <w:szCs w:val="32"/>
          <w:highlight w:val="none"/>
          <w14:textFill>
            <w14:solidFill>
              <w14:schemeClr w14:val="tx1"/>
            </w14:solidFill>
          </w14:textFill>
        </w:rPr>
        <w:t>强化人才保障机制，激励人才</w:t>
      </w:r>
      <w:bookmarkEnd w:id="200"/>
      <w:r>
        <w:rPr>
          <w:rFonts w:hint="eastAsia" w:ascii="楷体_GB2312" w:hAnsi="楷体_GB2312" w:eastAsia="楷体_GB2312" w:cs="楷体_GB2312"/>
          <w:color w:val="000000" w:themeColor="text1"/>
          <w:sz w:val="32"/>
          <w:szCs w:val="32"/>
          <w:highlight w:val="none"/>
          <w14:textFill>
            <w14:solidFill>
              <w14:schemeClr w14:val="tx1"/>
            </w14:solidFill>
          </w14:textFill>
        </w:rPr>
        <w:t>发挥作用</w:t>
      </w:r>
      <w:bookmarkEnd w:id="197"/>
      <w:bookmarkEnd w:id="199"/>
      <w:bookmarkEnd w:id="201"/>
      <w:bookmarkEnd w:id="202"/>
      <w:bookmarkEnd w:id="203"/>
      <w:bookmarkEnd w:id="204"/>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rPr>
          <w:rFonts w:hint="default" w:ascii="仿宋_GB2312" w:hAnsi="宋体" w:eastAsia="仿宋_GB2312" w:cstheme="minorBidi"/>
          <w:b w:val="0"/>
          <w:bCs w:val="0"/>
          <w:color w:val="000000" w:themeColor="text1"/>
          <w:sz w:val="32"/>
          <w:szCs w:val="32"/>
          <w:highlight w:val="none"/>
          <w14:textFill>
            <w14:solidFill>
              <w14:schemeClr w14:val="tx1"/>
            </w14:solidFill>
          </w14:textFill>
        </w:rPr>
      </w:pPr>
      <w:r>
        <w:rPr>
          <w:rFonts w:hint="default" w:ascii="仿宋_GB2312" w:hAnsi="宋体" w:eastAsia="仿宋_GB2312"/>
          <w:b w:val="0"/>
          <w:bCs w:val="0"/>
          <w:color w:val="000000" w:themeColor="text1"/>
          <w:sz w:val="32"/>
          <w:szCs w:val="32"/>
          <w:highlight w:val="none"/>
          <w14:textFill>
            <w14:solidFill>
              <w14:schemeClr w14:val="tx1"/>
            </w14:solidFill>
          </w14:textFill>
        </w:rPr>
        <w:t>建立健全与工作业绩紧密联系、充分体现人才价值、有利于激发人才活力和维护人才合法权益的激励保障机制。推进公立医院薪酬制度改革工作，不断优化薪酬结构，强化对公立医院及其主要负责人（院长）的考核评价，加强内部分配指导，进一步调动医务人员积极性。注重学科创新团队建设，在人员设备配备、经费使用方面尊重高层次人才自主权的同时，明确责任义务、发挥传帮带作用，促进骨干和优秀青年人才不断成长。建立保护关心关爱医务人员长效机制，关注医务人员身心健康，改善工作环境，做好人才服务保障工作，为医疗卫生人才发展搭建平台。</w:t>
      </w:r>
      <w:r>
        <w:rPr>
          <w:rFonts w:hint="default" w:ascii="仿宋_GB2312" w:hAnsi="宋体" w:eastAsia="仿宋_GB2312" w:cstheme="minorBidi"/>
          <w:color w:val="000000" w:themeColor="text1"/>
          <w:sz w:val="32"/>
          <w:szCs w:val="32"/>
          <w:highlight w:val="none"/>
          <w14:textFill>
            <w14:solidFill>
              <w14:schemeClr w14:val="tx1"/>
            </w14:solidFill>
          </w14:textFill>
        </w:rPr>
        <w:t>依照全员培训、需求导向、突出重点的原则，抓好区体育部门职工队伍培训，不断提升职工人才队伍专业履职能力。</w:t>
      </w:r>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1"/>
        <w:rPr>
          <w:rFonts w:hint="default" w:asciiTheme="minorHAnsi" w:hAnsiTheme="minorHAnsi" w:eastAsiaTheme="minorEastAsia" w:cstheme="minorBidi"/>
          <w:bCs w:val="0"/>
          <w:color w:val="000000" w:themeColor="text1"/>
          <w:sz w:val="32"/>
          <w:szCs w:val="32"/>
          <w:highlight w:val="none"/>
          <w:lang w:val="zh-TW" w:bidi="bo-CN"/>
          <w14:textFill>
            <w14:solidFill>
              <w14:schemeClr w14:val="tx1"/>
            </w14:solidFill>
          </w14:textFill>
        </w:rPr>
      </w:pPr>
      <w:bookmarkStart w:id="205" w:name="_Toc29081"/>
      <w:bookmarkStart w:id="206" w:name="_Toc19973"/>
      <w:r>
        <w:rPr>
          <w:rFonts w:hint="eastAsia" w:ascii="黑体" w:hAnsi="黑体" w:eastAsia="黑体" w:cs="黑体"/>
          <w:color w:val="000000" w:themeColor="text1"/>
          <w:sz w:val="32"/>
          <w:szCs w:val="32"/>
          <w:highlight w:val="none"/>
          <w:lang w:eastAsia="zh-CN"/>
          <w14:textFill>
            <w14:solidFill>
              <w14:schemeClr w14:val="tx1"/>
            </w14:solidFill>
          </w14:textFill>
        </w:rPr>
        <w:t>八、</w:t>
      </w:r>
      <w:bookmarkEnd w:id="205"/>
      <w:bookmarkStart w:id="207" w:name="_Toc15064"/>
      <w:bookmarkStart w:id="208" w:name="_Toc86"/>
      <w:bookmarkStart w:id="209" w:name="_Toc29456"/>
      <w:bookmarkStart w:id="210" w:name="_Toc10822"/>
      <w:bookmarkStart w:id="211" w:name="_Toc90318459"/>
      <w:bookmarkStart w:id="212" w:name="_Toc5892"/>
      <w:r>
        <w:rPr>
          <w:rFonts w:hint="eastAsia" w:ascii="黑体" w:hAnsi="黑体" w:eastAsia="黑体" w:cs="黑体"/>
          <w:bCs w:val="0"/>
          <w:color w:val="000000" w:themeColor="text1"/>
          <w:sz w:val="32"/>
          <w:szCs w:val="32"/>
          <w:highlight w:val="none"/>
          <w:lang w:val="zh-TW" w:bidi="bo-CN"/>
          <w14:textFill>
            <w14:solidFill>
              <w14:schemeClr w14:val="tx1"/>
            </w14:solidFill>
          </w14:textFill>
        </w:rPr>
        <w:t>提高医疗保障</w:t>
      </w:r>
      <w:bookmarkEnd w:id="207"/>
      <w:bookmarkEnd w:id="208"/>
      <w:bookmarkEnd w:id="209"/>
      <w:bookmarkEnd w:id="210"/>
      <w:r>
        <w:rPr>
          <w:rFonts w:hint="eastAsia" w:ascii="黑体" w:hAnsi="黑体" w:eastAsia="黑体" w:cs="黑体"/>
          <w:bCs w:val="0"/>
          <w:color w:val="000000" w:themeColor="text1"/>
          <w:sz w:val="32"/>
          <w:szCs w:val="32"/>
          <w:highlight w:val="none"/>
          <w:lang w:val="zh-TW" w:bidi="bo-CN"/>
          <w14:textFill>
            <w14:solidFill>
              <w14:schemeClr w14:val="tx1"/>
            </w14:solidFill>
          </w14:textFill>
        </w:rPr>
        <w:t>水平</w:t>
      </w:r>
      <w:bookmarkEnd w:id="206"/>
      <w:bookmarkEnd w:id="211"/>
      <w:bookmarkEnd w:id="212"/>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rPr>
          <w:rFonts w:hint="default" w:ascii="仿宋_GB2312" w:hAnsi="宋体" w:eastAsia="仿宋_GB2312"/>
          <w:color w:val="000000" w:themeColor="text1"/>
          <w:sz w:val="32"/>
          <w:szCs w:val="32"/>
          <w:highlight w:val="none"/>
          <w14:textFill>
            <w14:solidFill>
              <w14:schemeClr w14:val="tx1"/>
            </w14:solidFill>
          </w14:textFill>
        </w:rPr>
      </w:pPr>
      <w:r>
        <w:rPr>
          <w:rFonts w:hint="default" w:ascii="仿宋_GB2312" w:hAnsi="宋体" w:eastAsia="仿宋_GB2312"/>
          <w:color w:val="000000" w:themeColor="text1"/>
          <w:sz w:val="32"/>
          <w:szCs w:val="32"/>
          <w:highlight w:val="none"/>
          <w14:textFill>
            <w14:solidFill>
              <w14:schemeClr w14:val="tx1"/>
            </w14:solidFill>
          </w14:textFill>
        </w:rPr>
        <w:t>全面实施基本医疗保险制度、城乡居民大病保险制度，健全医疗救助与基本医疗保险、大病保险、慈善救助衔接机制，提高重特大疾病和多元医疗需求保障水平。</w:t>
      </w:r>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2"/>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213" w:name="_Toc9167"/>
      <w:bookmarkStart w:id="214" w:name="_Toc90318460"/>
      <w:bookmarkStart w:id="215" w:name="_Toc13997"/>
      <w:bookmarkStart w:id="216" w:name="_Toc31344"/>
      <w:bookmarkStart w:id="217" w:name="_Toc29306"/>
      <w:bookmarkStart w:id="218" w:name="_Toc19344"/>
      <w:bookmarkStart w:id="219" w:name="_Toc10168"/>
      <w:r>
        <w:rPr>
          <w:rFonts w:hint="eastAsia" w:ascii="楷体_GB2312" w:hAnsi="楷体_GB2312" w:eastAsia="楷体_GB2312" w:cs="楷体_GB2312"/>
          <w:color w:val="000000" w:themeColor="text1"/>
          <w:sz w:val="32"/>
          <w:szCs w:val="32"/>
          <w:highlight w:val="none"/>
          <w14:textFill>
            <w14:solidFill>
              <w14:schemeClr w14:val="tx1"/>
            </w14:solidFill>
          </w14:textFill>
        </w:rPr>
        <w:t>（一）坚持公平适度，完善医疗保障制度</w:t>
      </w:r>
      <w:bookmarkEnd w:id="213"/>
      <w:bookmarkEnd w:id="214"/>
      <w:bookmarkEnd w:id="215"/>
      <w:bookmarkEnd w:id="216"/>
      <w:bookmarkEnd w:id="217"/>
      <w:bookmarkEnd w:id="218"/>
      <w:bookmarkEnd w:id="219"/>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rPr>
          <w:rFonts w:ascii="仿宋_GB2312" w:hAnsi="宋体" w:eastAsia="仿宋_GB2312" w:cstheme="minorBidi"/>
          <w:color w:val="000000" w:themeColor="text1"/>
          <w:sz w:val="32"/>
          <w:szCs w:val="32"/>
          <w:highlight w:val="none"/>
          <w14:textFill>
            <w14:solidFill>
              <w14:schemeClr w14:val="tx1"/>
            </w14:solidFill>
          </w14:textFill>
        </w:rPr>
      </w:pPr>
      <w:r>
        <w:rPr>
          <w:rFonts w:hint="default" w:ascii="仿宋_GB2312" w:hAnsi="宋体" w:eastAsia="仿宋_GB2312" w:cstheme="minorBidi"/>
          <w:color w:val="000000" w:themeColor="text1"/>
          <w:sz w:val="32"/>
          <w:szCs w:val="32"/>
          <w:highlight w:val="none"/>
          <w14:textFill>
            <w14:solidFill>
              <w14:schemeClr w14:val="tx1"/>
            </w14:solidFill>
          </w14:textFill>
        </w:rPr>
        <w:t>稳步推进全民参保计划，适应新业态发展，实施好灵活就业人员参保缴费政策、困难群众参保资助政策。加强基金预算绩效管理、执行监督，健全基金运行风险预警机制。落实好国家、市级医保政策，推动实现城镇职工门诊共济保障，做好城乡居民门诊保障和生育保险待遇保障。逐步探索建立基本医疗保险为主体、医疗救助为托底，商业健康保险等各种补充医疗保险共同发展的多层次医疗保障体系。</w:t>
      </w:r>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220" w:name="_Toc31302"/>
      <w:bookmarkStart w:id="221" w:name="_Toc14615"/>
      <w:bookmarkStart w:id="222" w:name="_Toc90318461"/>
      <w:bookmarkStart w:id="223" w:name="_Toc26706"/>
      <w:bookmarkStart w:id="224" w:name="_Toc30837"/>
      <w:bookmarkStart w:id="225" w:name="_Toc9140"/>
      <w:bookmarkStart w:id="226" w:name="_Toc20025"/>
      <w:r>
        <w:rPr>
          <w:rFonts w:hint="eastAsia" w:ascii="楷体_GB2312" w:hAnsi="楷体_GB2312" w:eastAsia="楷体_GB2312" w:cs="楷体_GB2312"/>
          <w:color w:val="000000" w:themeColor="text1"/>
          <w:sz w:val="32"/>
          <w:szCs w:val="32"/>
          <w:highlight w:val="none"/>
          <w14:textFill>
            <w14:solidFill>
              <w14:schemeClr w14:val="tx1"/>
            </w14:solidFill>
          </w14:textFill>
        </w:rPr>
        <w:t>（二）创新监管机制，维护医保基金安全</w:t>
      </w:r>
      <w:bookmarkEnd w:id="220"/>
      <w:bookmarkEnd w:id="221"/>
      <w:bookmarkEnd w:id="222"/>
      <w:bookmarkEnd w:id="223"/>
      <w:bookmarkEnd w:id="224"/>
      <w:bookmarkEnd w:id="225"/>
      <w:bookmarkEnd w:id="226"/>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rPr>
          <w:rFonts w:ascii="仿宋_GB2312" w:hAnsi="宋体" w:eastAsia="仿宋_GB2312" w:cstheme="minorBidi"/>
          <w:color w:val="000000" w:themeColor="text1"/>
          <w:sz w:val="32"/>
          <w:szCs w:val="32"/>
          <w:highlight w:val="none"/>
          <w14:textFill>
            <w14:solidFill>
              <w14:schemeClr w14:val="tx1"/>
            </w14:solidFill>
          </w14:textFill>
        </w:rPr>
      </w:pPr>
      <w:r>
        <w:rPr>
          <w:rFonts w:hint="default" w:ascii="仿宋_GB2312" w:hAnsi="宋体" w:eastAsia="仿宋_GB2312" w:cstheme="minorBidi"/>
          <w:color w:val="000000" w:themeColor="text1"/>
          <w:sz w:val="32"/>
          <w:szCs w:val="32"/>
          <w:highlight w:val="none"/>
          <w14:textFill>
            <w14:solidFill>
              <w14:schemeClr w14:val="tx1"/>
            </w14:solidFill>
          </w14:textFill>
        </w:rPr>
        <w:t>加强联合监管、协同执法，坚决打击欺诈骗保、危害参保群众权益的行为。创新医保基金监管方式，建立和完善全覆盖检查制度，推动实现全流程、全要素监管。落实医疗保障信用记录、信用评价、积分管理等信用管理制度，实施守信联合激励和失信联合惩戒。推进医保智能监管，加强监督审核人员队伍建设，推进第三方力量参与医保基金监管，畅通举报渠道，落实举报奖励。</w:t>
      </w:r>
    </w:p>
    <w:p>
      <w:pPr>
        <w:keepNext w:val="0"/>
        <w:keepLines w:val="0"/>
        <w:pageBreakBefore w:val="0"/>
        <w:widowControl/>
        <w:numPr>
          <w:ilvl w:val="255"/>
          <w:numId w:val="0"/>
        </w:numPr>
        <w:pBdr>
          <w:bottom w:val="single" w:color="FFFFFF" w:sz="4" w:space="31"/>
        </w:pBdr>
        <w:tabs>
          <w:tab w:val="left" w:pos="1440"/>
        </w:tabs>
        <w:kinsoku/>
        <w:wordWrap/>
        <w:topLinePunct w:val="0"/>
        <w:bidi w:val="0"/>
        <w:adjustRightInd/>
        <w:snapToGrid/>
        <w:spacing w:line="560" w:lineRule="exact"/>
        <w:ind w:firstLine="640" w:firstLineChars="200"/>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227" w:name="_Toc31582"/>
      <w:bookmarkStart w:id="228" w:name="_Toc90318462"/>
      <w:bookmarkStart w:id="229" w:name="_Toc23615"/>
      <w:bookmarkStart w:id="230" w:name="_Toc2836"/>
      <w:bookmarkStart w:id="231" w:name="_Toc25234"/>
      <w:bookmarkStart w:id="232" w:name="_Toc32248"/>
      <w:bookmarkStart w:id="233" w:name="_Toc21651"/>
      <w:r>
        <w:rPr>
          <w:rFonts w:hint="eastAsia" w:ascii="楷体_GB2312" w:hAnsi="楷体_GB2312" w:eastAsia="楷体_GB2312" w:cs="楷体_GB2312"/>
          <w:color w:val="000000" w:themeColor="text1"/>
          <w:sz w:val="32"/>
          <w:szCs w:val="32"/>
          <w:highlight w:val="none"/>
          <w14:textFill>
            <w14:solidFill>
              <w14:schemeClr w14:val="tx1"/>
            </w14:solidFill>
          </w14:textFill>
        </w:rPr>
        <w:t>（三）强化技术支撑，提升医保管理服务效能</w:t>
      </w:r>
      <w:bookmarkEnd w:id="227"/>
      <w:bookmarkEnd w:id="228"/>
      <w:bookmarkEnd w:id="229"/>
      <w:bookmarkEnd w:id="230"/>
      <w:bookmarkEnd w:id="231"/>
      <w:bookmarkEnd w:id="232"/>
      <w:bookmarkEnd w:id="233"/>
    </w:p>
    <w:p>
      <w:pPr>
        <w:keepNext w:val="0"/>
        <w:keepLines w:val="0"/>
        <w:pageBreakBefore w:val="0"/>
        <w:widowControl/>
        <w:numPr>
          <w:ilvl w:val="0"/>
          <w:numId w:val="0"/>
        </w:numPr>
        <w:pBdr>
          <w:bottom w:val="single" w:color="FFFFFF" w:sz="4" w:space="31"/>
        </w:pBdr>
        <w:tabs>
          <w:tab w:val="left" w:pos="1440"/>
        </w:tabs>
        <w:kinsoku/>
        <w:wordWrap/>
        <w:topLinePunct w:val="0"/>
        <w:bidi w:val="0"/>
        <w:adjustRightInd w:val="0"/>
        <w:snapToGrid w:val="0"/>
        <w:spacing w:line="560" w:lineRule="exact"/>
        <w:ind w:firstLine="640" w:firstLineChars="200"/>
        <w:rPr>
          <w:rFonts w:hint="default" w:ascii="仿宋_GB2312" w:hAnsi="宋体" w:eastAsia="仿宋_GB2312" w:cstheme="minorBidi"/>
          <w:color w:val="000000" w:themeColor="text1"/>
          <w:sz w:val="32"/>
          <w:szCs w:val="32"/>
          <w:highlight w:val="none"/>
          <w14:textFill>
            <w14:solidFill>
              <w14:schemeClr w14:val="tx1"/>
            </w14:solidFill>
          </w14:textFill>
        </w:rPr>
      </w:pPr>
      <w:r>
        <w:rPr>
          <w:rFonts w:hint="default" w:ascii="仿宋_GB2312" w:hAnsi="宋体" w:eastAsia="仿宋_GB2312" w:cstheme="minorBidi"/>
          <w:color w:val="000000" w:themeColor="text1"/>
          <w:sz w:val="32"/>
          <w:szCs w:val="32"/>
          <w:highlight w:val="none"/>
          <w14:textFill>
            <w14:solidFill>
              <w14:schemeClr w14:val="tx1"/>
            </w14:solidFill>
          </w14:textFill>
        </w:rPr>
        <w:t>加快推进医疗保障公共服务标准化、规范化，开展医保服务示范窗口建设，发挥政务服务“好差评”制度指挥棒作用。提升医保全流程数字化服务水平，完善“互联网+”医疗医保服务管理，推广应用医保电子凭证，稳步推进跨省异地门诊直接结算。推进智慧医保成果落地，加强医保大数据开发，提升大数据综合治理能力。</w:t>
      </w:r>
      <w:bookmarkStart w:id="234" w:name="_Toc9483"/>
      <w:bookmarkStart w:id="235" w:name="_Toc9778"/>
      <w:bookmarkStart w:id="236" w:name="_Toc16389"/>
      <w:bookmarkStart w:id="237" w:name="_Toc3567"/>
      <w:bookmarkStart w:id="238" w:name="_Toc9349"/>
      <w:bookmarkStart w:id="239" w:name="_Toc90318464"/>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color w:val="000000" w:themeColor="text1"/>
          <w:sz w:val="32"/>
          <w:szCs w:val="32"/>
          <w:highlight w:val="none"/>
          <w:lang w:val="zh-TW"/>
          <w14:textFill>
            <w14:solidFill>
              <w14:schemeClr w14:val="tx1"/>
            </w14:solidFill>
          </w14:textFill>
        </w:rPr>
      </w:pPr>
      <w:bookmarkStart w:id="240" w:name="_Toc8103"/>
      <w:r>
        <w:rPr>
          <w:rFonts w:hint="eastAsia" w:ascii="黑体" w:hAnsi="黑体" w:eastAsia="黑体" w:cs="黑体"/>
          <w:color w:val="000000" w:themeColor="text1"/>
          <w:sz w:val="32"/>
          <w:szCs w:val="32"/>
          <w:highlight w:val="none"/>
          <w:lang w:val="en-US" w:eastAsia="zh-CN"/>
          <w14:textFill>
            <w14:solidFill>
              <w14:schemeClr w14:val="tx1"/>
            </w14:solidFill>
          </w14:textFill>
        </w:rPr>
        <w:t>九、深化</w:t>
      </w:r>
      <w:r>
        <w:rPr>
          <w:rFonts w:hint="eastAsia" w:ascii="黑体" w:hAnsi="黑体" w:eastAsia="黑体" w:cs="黑体"/>
          <w:color w:val="000000" w:themeColor="text1"/>
          <w:sz w:val="32"/>
          <w:szCs w:val="32"/>
          <w:highlight w:val="none"/>
          <w:lang w:val="zh-TW"/>
          <w14:textFill>
            <w14:solidFill>
              <w14:schemeClr w14:val="tx1"/>
            </w14:solidFill>
          </w14:textFill>
        </w:rPr>
        <w:t>健康体系改革</w:t>
      </w:r>
      <w:bookmarkEnd w:id="234"/>
      <w:bookmarkEnd w:id="235"/>
      <w:bookmarkEnd w:id="236"/>
      <w:bookmarkEnd w:id="237"/>
      <w:bookmarkEnd w:id="238"/>
      <w:bookmarkEnd w:id="239"/>
      <w:bookmarkEnd w:id="240"/>
      <w:bookmarkStart w:id="241" w:name="_Toc90318465"/>
      <w:bookmarkStart w:id="242" w:name="_Toc18542"/>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243" w:name="_Toc18064"/>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14:textFill>
            <w14:solidFill>
              <w14:schemeClr w14:val="tx1"/>
            </w14:solidFill>
          </w14:textFill>
        </w:rPr>
        <w:t>提高医疗卫生教学科研水平</w:t>
      </w:r>
      <w:bookmarkEnd w:id="241"/>
      <w:bookmarkEnd w:id="242"/>
      <w:bookmarkEnd w:id="243"/>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结合大兴区大力发展健康服务业的功能定位，借助生物医药基地和临空经济区生物医药产业发展契机，鼓励支持大兴区各级各类医疗卫生机构开展院企、院所合作，搭建科技成果转化平台，促进产学研用一体化发展。利用首都医科大学入驻大兴区机会，进一步加强院校合作，鼓励区属医院加强临床教学与临床研究能力建设，规范医学人才培养，提升教学与科研水平。加强大兴区医疗卫生技术人员力量，促进医教研、人才培养共同发展，推动大兴区各医疗卫生机构学科水平的整体提高。</w:t>
      </w:r>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244" w:name="_Toc6765"/>
      <w:bookmarkStart w:id="245" w:name="_Toc90318466"/>
      <w:bookmarkStart w:id="246" w:name="_Toc4533"/>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14:textFill>
            <w14:solidFill>
              <w14:schemeClr w14:val="tx1"/>
            </w14:solidFill>
          </w14:textFill>
        </w:rPr>
        <w:t>深化医药卫生体制改革</w:t>
      </w:r>
      <w:bookmarkEnd w:id="244"/>
      <w:bookmarkEnd w:id="245"/>
      <w:bookmarkEnd w:id="246"/>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加强贯彻落实《关于加强首都公共卫生应急管理体系建设的若干意见》，立足重大疫情防控救治，推动公共卫生应急管理体制与机制改革，着力补短板、堵漏洞、强弱项，推动建立现代化公共卫生应急管理体系。贯彻落实国家、市级医药卫生体制改革重大方针政策。完善现代医院管理制度，持续落实三甲医院检查结果互认，提高医院管理服务水平。深入推进紧密型医联体建设，完善专病医联体和专科医联体管理机制。按照市级部署，试点推进健联体建设，为居民提供全面、持续、个性化的健康管理服务。完善分级诊疗服务体系，推进优质医疗资源下沉。</w:t>
      </w:r>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楷体_GB2312" w:hAnsi="楷体_GB2312" w:eastAsia="楷体_GB2312" w:cs="楷体_GB2312"/>
          <w:color w:val="000000" w:themeColor="text1"/>
          <w:sz w:val="32"/>
          <w:szCs w:val="32"/>
          <w:highlight w:val="none"/>
          <w14:textFill>
            <w14:solidFill>
              <w14:schemeClr w14:val="tx1"/>
            </w14:solidFill>
          </w14:textFill>
        </w:rPr>
      </w:pPr>
      <w:bookmarkStart w:id="247" w:name="_Toc16149"/>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（三）推动公立医院高质量发展</w:t>
      </w:r>
      <w:bookmarkEnd w:id="247"/>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完善公立医院治理机制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全面落实党委领导下的院长负责制，健全完善议事决策规则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完善公立医院领导人员选拔任用培养制度。建立完善以公益性为导向的绩效考核办法并加强考核结果应用。健全公立医院运营管理体系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加强全面预算管理，强化成本核算和成本控制，保障医院运营管理科学化、规范化、精细化。不断深化公立医院薪酬制度改革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科学合理确定并动态调整公立医院的薪酬水平，优化薪酬结构。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落实</w:t>
      </w:r>
      <w:r>
        <w:rPr>
          <w:rFonts w:hint="eastAsia" w:ascii="仿宋_GB2312" w:hAnsi="仿宋_GB2312" w:eastAsia="仿宋_GB2312" w:cs="仿宋_GB2312"/>
          <w:color w:val="000000" w:themeColor="text1"/>
          <w:sz w:val="32"/>
          <w:szCs w:val="32"/>
          <w:highlight w:val="none"/>
          <w14:textFill>
            <w14:solidFill>
              <w14:schemeClr w14:val="tx1"/>
            </w14:solidFill>
          </w14:textFill>
        </w:rPr>
        <w:t>医疗服务价格改革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药品、医用耗材集中带量采购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加强政府投资绩效管理，探索更加科学合理的公立医院财政分类补偿机制和财政补助绩效评估体系</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继续深入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落实</w:t>
      </w:r>
      <w:r>
        <w:rPr>
          <w:rFonts w:hint="eastAsia" w:ascii="仿宋_GB2312" w:hAnsi="仿宋_GB2312" w:eastAsia="仿宋_GB2312" w:cs="仿宋_GB2312"/>
          <w:color w:val="000000" w:themeColor="text1"/>
          <w:sz w:val="32"/>
          <w:szCs w:val="32"/>
          <w:highlight w:val="none"/>
          <w14:textFill>
            <w14:solidFill>
              <w14:schemeClr w14:val="tx1"/>
            </w14:solidFill>
          </w14:textFill>
        </w:rPr>
        <w:t>按疾病诊断相关分组付费(DRG)改革，探索紧密型医联体打包付费方式。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7CAA16-2D36-4907-BE2B-B83D9B2CFF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EDF6FD-3FF6-48F7-8E7B-F7697AB46D3E}"/>
  </w:font>
  <w:font w:name="方正小标宋简体">
    <w:panose1 w:val="02000000000000000000"/>
    <w:charset w:val="86"/>
    <w:family w:val="auto"/>
    <w:pitch w:val="default"/>
    <w:sig w:usb0="00000001" w:usb1="08000000" w:usb2="00000000" w:usb3="00000000" w:csb0="00040000" w:csb1="00000000"/>
    <w:embedRegular r:id="rId3" w:fontKey="{A8D390F4-7C99-4C34-91AB-05577ED9C89F}"/>
  </w:font>
  <w:font w:name="仿宋_GB2312">
    <w:altName w:val="仿宋"/>
    <w:panose1 w:val="02010609030101010101"/>
    <w:charset w:val="86"/>
    <w:family w:val="modern"/>
    <w:pitch w:val="default"/>
    <w:sig w:usb0="00000000" w:usb1="00000000" w:usb2="00000000" w:usb3="00000000" w:csb0="00040000" w:csb1="00000000"/>
    <w:embedRegular r:id="rId4" w:fontKey="{982AB3B8-1589-4D03-A0AE-51C9F55B5293}"/>
  </w:font>
  <w:font w:name="楷体_GB2312">
    <w:altName w:val="楷体"/>
    <w:panose1 w:val="02010609030101010101"/>
    <w:charset w:val="86"/>
    <w:family w:val="modern"/>
    <w:pitch w:val="default"/>
    <w:sig w:usb0="00000000" w:usb1="00000000" w:usb2="00000000" w:usb3="00000000" w:csb0="00040000" w:csb1="00000000"/>
    <w:embedRegular r:id="rId5" w:fontKey="{99D5C122-417B-48BC-ADEF-974031EEE28E}"/>
  </w:font>
  <w:font w:name="仿宋">
    <w:panose1 w:val="02010609060101010101"/>
    <w:charset w:val="86"/>
    <w:family w:val="auto"/>
    <w:pitch w:val="default"/>
    <w:sig w:usb0="800002BF" w:usb1="38CF7CFA" w:usb2="00000016" w:usb3="00000000" w:csb0="00040001" w:csb1="00000000"/>
    <w:embedRegular r:id="rId6" w:fontKey="{3A49E3BE-FDD2-40A1-B018-88DA4CE595D8}"/>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DFC45"/>
    <w:multiLevelType w:val="singleLevel"/>
    <w:tmpl w:val="F4FDFC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1C4C1A32"/>
    <w:rsid w:val="1C4C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2022-07-18T07:19:00Z</dcterms:created>
  <dc:creator>米露露</dc:creator>
  <cp:lastModifiedBy>米露露</cp:lastModifiedBy>
  <dcterms:modified xsi:type="dcterms:W3CDTF">2022-07-18T07:20:08Z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A3B753C2D5E44DE49BF28CB46AFD52B4</vt:lpwstr>
  </property>
</Properties>
</file>