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Toc40806028"/>
      <w:bookmarkStart w:id="1" w:name="_Toc84868980"/>
      <w:bookmarkStart w:id="11" w:name="_GoBack"/>
      <w:r>
        <w:rPr>
          <w:rFonts w:ascii="Times New Roman" w:hAnsi="Times New Roman" w:eastAsia="黑体" w:cs="Times New Roman"/>
          <w:sz w:val="32"/>
          <w:szCs w:val="32"/>
        </w:rPr>
        <w:t>三、“十四五”时期总体思路与发展目标</w:t>
      </w:r>
      <w:bookmarkEnd w:id="0"/>
      <w:bookmarkEnd w:id="1"/>
      <w:bookmarkEnd w:id="11"/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2" w:name="_Toc84868981"/>
      <w:bookmarkStart w:id="3" w:name="_Toc37151789"/>
      <w:bookmarkStart w:id="4" w:name="_Toc40806029"/>
      <w:r>
        <w:rPr>
          <w:rFonts w:ascii="Times New Roman" w:hAnsi="Times New Roman" w:eastAsia="楷体_GB2312" w:cs="Times New Roman"/>
          <w:sz w:val="32"/>
          <w:szCs w:val="32"/>
        </w:rPr>
        <w:t>（一）指导思想</w:t>
      </w:r>
      <w:bookmarkEnd w:id="2"/>
      <w:bookmarkEnd w:id="3"/>
      <w:bookmarkEnd w:id="4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深入贯彻习近平总书记系列重要讲话精神，牢牢把握首都“四个中心”建设要求，紧密围绕新时期大兴区“三区一门户”的功能定位，按照国家和全市促消费、扩内需的发展部署，顺应现代商业模式变革和居民消费升级趋势，紧抓“两区”建设有利契机，以打造“</w:t>
      </w:r>
      <w:r>
        <w:rPr>
          <w:rFonts w:ascii="Times New Roman" w:hAnsi="Times New Roman" w:eastAsia="黑体" w:cs="Times New Roman"/>
          <w:snapToGrid w:val="0"/>
          <w:sz w:val="32"/>
          <w:szCs w:val="32"/>
        </w:rPr>
        <w:t>国际消费中心城市重要节点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”为目标，以“</w:t>
      </w:r>
      <w:r>
        <w:rPr>
          <w:rFonts w:ascii="Times New Roman" w:hAnsi="Times New Roman" w:eastAsia="黑体" w:cs="Times New Roman"/>
          <w:snapToGrid w:val="0"/>
          <w:sz w:val="32"/>
          <w:szCs w:val="32"/>
        </w:rPr>
        <w:t>提升京南商业品质”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为主线，坚持“</w:t>
      </w:r>
      <w:r>
        <w:rPr>
          <w:rFonts w:ascii="Times New Roman" w:hAnsi="Times New Roman" w:eastAsia="黑体" w:cs="Times New Roman"/>
          <w:snapToGrid w:val="0"/>
          <w:sz w:val="32"/>
          <w:szCs w:val="32"/>
        </w:rPr>
        <w:t>国际化、融合化、智慧化、开放化”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发展思路，补短板与强品质两手抓，着力构建以临空商业为特色引领的高端商业体系，优化完善以两大新城为核心支撑的商业发展空间格局，重点实施</w:t>
      </w:r>
      <w:r>
        <w:rPr>
          <w:rFonts w:ascii="Times New Roman" w:hAnsi="Times New Roman" w:eastAsia="黑体" w:cs="Times New Roman"/>
          <w:snapToGrid w:val="0"/>
          <w:sz w:val="32"/>
          <w:szCs w:val="32"/>
        </w:rPr>
        <w:t>“高端聚集、模式创新、业态融合、开放促进、环境提升”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五大工程，全力推动消费市场扩容升级，打造具有较强区域辐射力的京南商业中心，为北京建设国际消费中心城市提供有力支撑。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5" w:name="_Toc40806030"/>
      <w:bookmarkStart w:id="6" w:name="_Toc37151790"/>
      <w:bookmarkStart w:id="7" w:name="_Toc84868982"/>
      <w:r>
        <w:rPr>
          <w:rFonts w:ascii="Times New Roman" w:hAnsi="Times New Roman" w:eastAsia="楷体_GB2312" w:cs="Times New Roman"/>
          <w:sz w:val="32"/>
          <w:szCs w:val="32"/>
        </w:rPr>
        <w:t>（二）基本原则</w:t>
      </w:r>
      <w:bookmarkEnd w:id="5"/>
      <w:bookmarkEnd w:id="6"/>
      <w:bookmarkEnd w:id="7"/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坚持补短板和提品质相结合。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紧扣人民群众“七有”要求、“五性”需求，结合自身实际，坚持对标对表，深化供给侧结构性改革，补充便民商业短板，提升生活服务品质，提高商业市场精细化水平，构筑牢固的基层商业网底，完善民生保障服务功能，切实增强居民获得感、幸福感、安全感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坚持优布局和建网络相结合。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结合分区规划城市空间结构调整，以便利化、开放式、功能化为导向，集中打造新城商业升级引领区，着力建设特色现代化重点商圈，加强基础性、兜底性社区/镇区商业中心建设，构建全覆盖、多层次的商业网络，提升区域商业集聚力和影响力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坚持塑特色与广辐射相结合。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挖掘区域商业资源基础和临空经济政策优势，做大做强免税商业、跨境电商规模，培育提升文化、生态、生活体验商业特色，引进国内外知名商业品牌，辐射带动周边乃至津冀地区消费集聚，显著提升大兴在全市国际消费中心城市建设中的地位和服务能级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坚持强创新和促融合相结合。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把握“科技+”“智能+”商业融合发展的新趋势，推动5G、人工智能、物联网等新兴技术的渗透应用，改变传统商业经营方式和管理模式，促进商业与文化、会展、旅游等服务领域融合发展，培育形成商业新业态和消费热点，激发全区商业市场活力和动能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8" w:name="_Toc84868983"/>
      <w:bookmarkStart w:id="9" w:name="_Toc40806031"/>
      <w:bookmarkStart w:id="10" w:name="_Toc37151791"/>
      <w:r>
        <w:rPr>
          <w:rFonts w:ascii="Times New Roman" w:hAnsi="Times New Roman" w:eastAsia="楷体_GB2312" w:cs="Times New Roman"/>
          <w:sz w:val="32"/>
          <w:szCs w:val="32"/>
        </w:rPr>
        <w:t>（三）主要目标</w:t>
      </w:r>
      <w:bookmarkEnd w:id="8"/>
      <w:bookmarkEnd w:id="9"/>
      <w:bookmarkEnd w:id="1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到“十四五”期末，全区商业结构和品质实现全面优化升级，京南商业中心地位显著提升，临空商业枢纽功能不断完善，成为北京国际消费中心城市建设的重要节点。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商业市场规模稳步扩大。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社会消费品零售额平稳增长，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年均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增速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大于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5%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；服务消费快速发展，占全区消费市场比重超过50%，全区以服务消费为主导的消费格局初步形成。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商业功能结构明显优化。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全区高端商业要素集聚效应明显，批发零售、住宿餐饮限额以上企业数量明显增加，星级饭店数量快速增长，一批传统商业设施改造完成，全区商业功能结构更加健全完善，服务品质显著升级。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特色商业品牌逐步形成。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免税商业、跨境电商、新零售等临空特色商业品牌彰显，免税店、离境退税店、国际一线品牌直营店加快在区域落地，入驻一批特色品牌的北京首店、京南首店，举办系列国际品牌的首发活动，国际消费中心城市重要节点的影响力显著提升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snapToGrid w:val="0"/>
          <w:sz w:val="32"/>
          <w:szCs w:val="32"/>
        </w:rPr>
        <w:t>生活服务品质全面升级。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社区（镇区）商业中心布局完</w:t>
      </w:r>
      <w:r>
        <w:rPr>
          <w:rFonts w:ascii="Times New Roman" w:hAnsi="Times New Roman" w:eastAsia="仿宋_GB2312" w:cs="Times New Roman"/>
          <w:sz w:val="32"/>
          <w:szCs w:val="32"/>
        </w:rPr>
        <w:t>善，基本商业便民网点覆盖率达到市级标准，便民业态综合连锁化率显著提升，居民消费更加安全便利。新兴便民商业加快发展，集中打造一批“一站式”生活服务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中心，集成化、智慧化、品质化服务模式日益成熟。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48805CB0"/>
    <w:rsid w:val="488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2022-09-21T05:48:00Z</dcterms:created>
  <dc:creator>米露露</dc:creator>
  <cp:lastModifiedBy>米露露</cp:lastModifiedBy>
  <dcterms:modified xsi:type="dcterms:W3CDTF">2022-09-21T05:48:36Z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AB686D681E5D422398BDDDFE2DF73523</vt:lpwstr>
  </property>
</Properties>
</file>