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numId w:val="0"/>
        </w:numPr>
        <w:wordWrap/>
        <w:adjustRightInd/>
        <w:snapToGrid/>
        <w:spacing w:line="560" w:lineRule="exact"/>
        <w:ind w:leftChars="0"/>
        <w:jc w:val="center"/>
        <w:textAlignment w:val="auto"/>
        <w:outlineLvl w:val="0"/>
        <w:rPr>
          <w:rFonts w:hint="eastAsia" w:ascii="方正小标宋简体" w:hAnsi="方正小标宋简体" w:eastAsia="方正小标宋简体" w:cs="方正小标宋简体"/>
          <w:color w:val="auto"/>
          <w:sz w:val="44"/>
          <w:szCs w:val="44"/>
          <w:lang w:val="en-US" w:eastAsia="zh-CN"/>
        </w:rPr>
      </w:pPr>
      <w:bookmarkStart w:id="0" w:name="_Toc24231_WPSOffice_Level1"/>
      <w:bookmarkStart w:id="1" w:name="_Toc28121_WPSOffice_Level1"/>
      <w:bookmarkStart w:id="2" w:name="_Toc16651"/>
      <w:bookmarkStart w:id="3" w:name="_Toc24225"/>
      <w:bookmarkStart w:id="4" w:name="_Toc4615"/>
      <w:bookmarkStart w:id="5" w:name="_Toc309"/>
      <w:bookmarkStart w:id="6" w:name="_Toc452"/>
      <w:bookmarkStart w:id="7" w:name="_Toc25772"/>
      <w:bookmarkStart w:id="8" w:name="_Toc31648"/>
      <w:bookmarkStart w:id="9" w:name="_Toc61515266"/>
      <w:bookmarkStart w:id="10" w:name="_Toc26854"/>
      <w:bookmarkStart w:id="11" w:name="_Toc15672"/>
      <w:bookmarkStart w:id="12" w:name="_Toc1923"/>
      <w:r>
        <w:rPr>
          <w:rFonts w:hint="eastAsia" w:ascii="方正小标宋简体" w:hAnsi="方正小标宋简体" w:eastAsia="方正小标宋简体" w:cs="方正小标宋简体"/>
          <w:color w:val="auto"/>
          <w:sz w:val="44"/>
          <w:szCs w:val="44"/>
          <w:lang w:val="en-US" w:eastAsia="zh-CN"/>
        </w:rPr>
        <w:t xml:space="preserve">第二章 </w:t>
      </w:r>
      <w:bookmarkStart w:id="111" w:name="_GoBack"/>
      <w:r>
        <w:rPr>
          <w:rFonts w:hint="eastAsia" w:ascii="方正小标宋简体" w:hAnsi="方正小标宋简体" w:eastAsia="方正小标宋简体" w:cs="方正小标宋简体"/>
          <w:color w:val="auto"/>
          <w:sz w:val="44"/>
          <w:szCs w:val="44"/>
          <w:lang w:val="en-US" w:eastAsia="zh-CN"/>
        </w:rPr>
        <w:t>指导思想、基本原则和主要目</w:t>
      </w:r>
      <w:bookmarkEnd w:id="0"/>
      <w:bookmarkEnd w:id="1"/>
      <w:r>
        <w:rPr>
          <w:rFonts w:hint="eastAsia" w:ascii="方正小标宋简体" w:hAnsi="方正小标宋简体" w:eastAsia="方正小标宋简体" w:cs="方正小标宋简体"/>
          <w:color w:val="auto"/>
          <w:sz w:val="44"/>
          <w:szCs w:val="44"/>
          <w:lang w:val="en-US" w:eastAsia="zh-CN"/>
        </w:rPr>
        <w:t>标</w:t>
      </w:r>
      <w:bookmarkEnd w:id="111"/>
      <w:bookmarkEnd w:id="2"/>
      <w:bookmarkEnd w:id="3"/>
      <w:bookmarkEnd w:id="4"/>
      <w:bookmarkEnd w:id="5"/>
      <w:bookmarkEnd w:id="6"/>
      <w:bookmarkEnd w:id="7"/>
      <w:bookmarkEnd w:id="8"/>
      <w:bookmarkEnd w:id="9"/>
      <w:bookmarkEnd w:id="10"/>
      <w:bookmarkEnd w:id="11"/>
      <w:bookmarkEnd w:id="12"/>
    </w:p>
    <w:p>
      <w:pPr>
        <w:pStyle w:val="2"/>
        <w:numPr>
          <w:ilvl w:val="0"/>
          <w:numId w:val="0"/>
        </w:numPr>
        <w:ind w:leftChars="0"/>
        <w:rPr>
          <w:rFonts w:hint="eastAsia"/>
          <w:lang w:val="en-US" w:eastAsia="zh-CN"/>
        </w:rPr>
      </w:pPr>
    </w:p>
    <w:p>
      <w:pPr>
        <w:widowControl w:val="0"/>
        <w:wordWrap/>
        <w:adjustRightInd/>
        <w:snapToGrid/>
        <w:spacing w:line="560" w:lineRule="exact"/>
        <w:ind w:firstLine="640" w:firstLineChars="200"/>
        <w:textAlignment w:val="auto"/>
        <w:outlineLvl w:val="0"/>
        <w:rPr>
          <w:rFonts w:ascii="Times New Roman" w:hAnsi="Times New Roman" w:eastAsia="黑体" w:cs="Times New Roman"/>
          <w:color w:val="auto"/>
          <w:sz w:val="32"/>
          <w:szCs w:val="32"/>
        </w:rPr>
      </w:pPr>
      <w:bookmarkStart w:id="13" w:name="_Toc5553_WPSOffice_Level2"/>
      <w:bookmarkStart w:id="14" w:name="_Toc16690"/>
      <w:bookmarkStart w:id="15" w:name="_Toc12615"/>
      <w:bookmarkStart w:id="16" w:name="_Toc61515267"/>
      <w:bookmarkStart w:id="17" w:name="_Toc8219"/>
      <w:bookmarkStart w:id="18" w:name="_Toc32221"/>
      <w:bookmarkStart w:id="19" w:name="_Toc29009"/>
      <w:bookmarkStart w:id="20" w:name="_Toc14454"/>
      <w:bookmarkStart w:id="21" w:name="_Toc2492"/>
      <w:bookmarkStart w:id="22" w:name="_Toc19318_WPSOffice_Level2"/>
      <w:bookmarkStart w:id="23" w:name="_Toc19356"/>
      <w:bookmarkStart w:id="24" w:name="_Toc826"/>
      <w:bookmarkStart w:id="25" w:name="_Toc13061"/>
      <w:r>
        <w:rPr>
          <w:rFonts w:ascii="Times New Roman" w:hAnsi="Times New Roman" w:eastAsia="黑体" w:cs="Times New Roman"/>
          <w:color w:val="auto"/>
          <w:sz w:val="32"/>
          <w:szCs w:val="32"/>
        </w:rPr>
        <w:t>一、指导思想</w:t>
      </w:r>
      <w:bookmarkEnd w:id="13"/>
      <w:bookmarkEnd w:id="14"/>
      <w:bookmarkEnd w:id="15"/>
      <w:bookmarkEnd w:id="16"/>
      <w:bookmarkEnd w:id="17"/>
      <w:bookmarkEnd w:id="18"/>
      <w:bookmarkEnd w:id="19"/>
      <w:bookmarkEnd w:id="20"/>
      <w:bookmarkEnd w:id="21"/>
      <w:bookmarkEnd w:id="22"/>
      <w:bookmarkEnd w:id="23"/>
      <w:bookmarkEnd w:id="24"/>
      <w:bookmarkEnd w:id="25"/>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以习近平</w:t>
      </w:r>
      <w:r>
        <w:rPr>
          <w:rFonts w:hint="eastAsia" w:ascii="仿宋_GB2312" w:hAnsi="仿宋_GB2312" w:eastAsia="仿宋_GB2312" w:cs="仿宋_GB2312"/>
          <w:color w:val="auto"/>
          <w:sz w:val="32"/>
          <w:szCs w:val="32"/>
          <w:lang w:val="en-US" w:eastAsia="zh-CN"/>
        </w:rPr>
        <w:t>生态文明</w:t>
      </w:r>
      <w:r>
        <w:rPr>
          <w:rFonts w:hint="eastAsia" w:ascii="仿宋_GB2312" w:hAnsi="仿宋_GB2312" w:eastAsia="仿宋_GB2312" w:cs="仿宋_GB2312"/>
          <w:color w:val="auto"/>
          <w:sz w:val="32"/>
          <w:szCs w:val="32"/>
        </w:rPr>
        <w:t>思想和“十九大”精神为指导，落实国家“碳达峰、碳中和”相关部署，深入贯彻</w:t>
      </w:r>
      <w:r>
        <w:rPr>
          <w:rFonts w:hint="eastAsia" w:ascii="仿宋_GB2312" w:hAnsi="仿宋_GB2312" w:eastAsia="仿宋_GB2312" w:cs="仿宋_GB2312"/>
          <w:color w:val="auto"/>
          <w:sz w:val="32"/>
          <w:szCs w:val="32"/>
          <w:lang w:eastAsia="zh-CN"/>
        </w:rPr>
        <w:t>习近平总书记</w:t>
      </w:r>
      <w:r>
        <w:rPr>
          <w:rFonts w:hint="eastAsia" w:ascii="仿宋_GB2312" w:hAnsi="仿宋_GB2312" w:eastAsia="仿宋_GB2312" w:cs="仿宋_GB2312"/>
          <w:color w:val="auto"/>
          <w:sz w:val="32"/>
          <w:szCs w:val="32"/>
        </w:rPr>
        <w:t>北京重要讲话精神，认真落实北京城市</w:t>
      </w:r>
      <w:r>
        <w:rPr>
          <w:rFonts w:hint="eastAsia" w:ascii="仿宋_GB2312" w:hAnsi="仿宋_GB2312" w:eastAsia="仿宋_GB2312" w:cs="仿宋_GB2312"/>
          <w:color w:val="auto"/>
          <w:sz w:val="32"/>
          <w:szCs w:val="32"/>
          <w:lang w:val="en-US" w:eastAsia="zh-CN"/>
        </w:rPr>
        <w:t>总体规划</w:t>
      </w:r>
      <w:r>
        <w:rPr>
          <w:rFonts w:hint="eastAsia" w:ascii="仿宋_GB2312" w:hAnsi="仿宋_GB2312" w:eastAsia="仿宋_GB2312" w:cs="仿宋_GB2312"/>
          <w:color w:val="auto"/>
          <w:sz w:val="32"/>
          <w:szCs w:val="32"/>
        </w:rPr>
        <w:t>和大兴分区规划，坚持以人民为中心，牢固树立“创新协调、绿色安全、高效开放、智慧共享”新发展理念，立足京津冀区域协同发展，注重长远发展，注重绿色低碳、生态保护和多规合一，从大兴区的实际情况和发展要求出发，坚持“绿色发展、创新发展、智慧发展、协同发展”新战略，加快构建绿色、低碳、高效、智慧、安全、可持续的区域能源体系，实现区域能源持续稳定健康发展。</w:t>
      </w:r>
    </w:p>
    <w:p>
      <w:pPr>
        <w:widowControl w:val="0"/>
        <w:wordWrap/>
        <w:adjustRightInd/>
        <w:snapToGrid/>
        <w:spacing w:line="560" w:lineRule="exact"/>
        <w:ind w:firstLine="640" w:firstLineChars="200"/>
        <w:textAlignment w:val="auto"/>
        <w:outlineLvl w:val="0"/>
        <w:rPr>
          <w:rFonts w:ascii="Times New Roman" w:hAnsi="Times New Roman" w:eastAsia="黑体" w:cs="Times New Roman"/>
          <w:color w:val="auto"/>
          <w:sz w:val="32"/>
          <w:szCs w:val="32"/>
        </w:rPr>
      </w:pPr>
      <w:bookmarkStart w:id="26" w:name="_Toc4596"/>
      <w:bookmarkStart w:id="27" w:name="_Toc22275"/>
      <w:bookmarkStart w:id="28" w:name="_Toc13218"/>
      <w:bookmarkStart w:id="29" w:name="_Toc20237"/>
      <w:bookmarkStart w:id="30" w:name="_Toc5194_WPSOffice_Level2"/>
      <w:bookmarkStart w:id="31" w:name="_Toc6969"/>
      <w:bookmarkStart w:id="32" w:name="_Toc27456"/>
      <w:bookmarkStart w:id="33" w:name="_Toc3262"/>
      <w:bookmarkStart w:id="34" w:name="_Toc10669"/>
      <w:bookmarkStart w:id="35" w:name="_Toc29965_WPSOffice_Level2"/>
      <w:bookmarkStart w:id="36" w:name="_Toc12831"/>
      <w:bookmarkStart w:id="37" w:name="_Toc21925"/>
      <w:bookmarkStart w:id="38" w:name="_Toc61515268"/>
      <w:r>
        <w:rPr>
          <w:rFonts w:ascii="Times New Roman" w:hAnsi="Times New Roman" w:eastAsia="黑体" w:cs="Times New Roman"/>
          <w:color w:val="auto"/>
          <w:sz w:val="32"/>
          <w:szCs w:val="32"/>
        </w:rPr>
        <w:t>二、基本原则</w:t>
      </w:r>
      <w:bookmarkEnd w:id="26"/>
      <w:bookmarkEnd w:id="27"/>
      <w:bookmarkEnd w:id="28"/>
      <w:bookmarkEnd w:id="29"/>
      <w:bookmarkEnd w:id="30"/>
      <w:bookmarkEnd w:id="31"/>
      <w:bookmarkEnd w:id="32"/>
      <w:bookmarkEnd w:id="33"/>
      <w:bookmarkEnd w:id="34"/>
      <w:bookmarkEnd w:id="35"/>
      <w:bookmarkEnd w:id="36"/>
      <w:bookmarkEnd w:id="37"/>
      <w:bookmarkEnd w:id="38"/>
    </w:p>
    <w:p>
      <w:pPr>
        <w:widowControl w:val="0"/>
        <w:wordWrap/>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安全可靠，精细智能</w:t>
      </w:r>
      <w:r>
        <w:rPr>
          <w:rFonts w:hint="eastAsia" w:ascii="仿宋_GB2312" w:hAnsi="仿宋_GB2312" w:eastAsia="仿宋_GB2312" w:cs="仿宋_GB2312"/>
          <w:color w:val="auto"/>
          <w:sz w:val="32"/>
          <w:szCs w:val="32"/>
        </w:rPr>
        <w:t>。对标一流标准，强化多源多向、绿色低碳能源体系建设，补齐关键环节、重点区域设施能力建设与能源供给系统发展“短板”。大力推动5G、物联网、大数据、人工智能等现代信息技术在能源基础设施中的场景应用，建立精细智能的区域能源安全运行管理平台和高效专业的应急响应机制。</w:t>
      </w:r>
    </w:p>
    <w:p>
      <w:pPr>
        <w:widowControl w:val="0"/>
        <w:wordWrap/>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绿色低碳，集约高效。</w:t>
      </w:r>
      <w:r>
        <w:rPr>
          <w:rFonts w:hint="eastAsia" w:ascii="仿宋_GB2312" w:hAnsi="仿宋_GB2312" w:eastAsia="仿宋_GB2312" w:cs="仿宋_GB2312"/>
          <w:color w:val="auto"/>
          <w:sz w:val="32"/>
          <w:szCs w:val="32"/>
        </w:rPr>
        <w:t>创新政策机制，积极推动传统能源与可再生能源、可再生能源与城市融合发展，显著提升重点行业、重点区域绿色发展水平。坚持减量集约方向，优化调整产业结构和空间布局。实施严格的能效标准和用能考核制度，推动建立绿色低碳生产消费模式。</w:t>
      </w:r>
    </w:p>
    <w:p>
      <w:pPr>
        <w:widowControl w:val="0"/>
        <w:wordWrap/>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创新融合，示范引领。</w:t>
      </w:r>
      <w:r>
        <w:rPr>
          <w:rFonts w:hint="eastAsia" w:ascii="仿宋_GB2312" w:hAnsi="仿宋_GB2312" w:eastAsia="仿宋_GB2312" w:cs="仿宋_GB2312"/>
          <w:color w:val="auto"/>
          <w:sz w:val="32"/>
          <w:szCs w:val="32"/>
        </w:rPr>
        <w:t>整合发挥北京科技创新资源优势，加快氢能利用、热泵新技术等能源技术装备研发攻关和产业化发展，推进能源互联网新技术、新模式和新业态发展，集中打造一批能源高质量发展示范项目和能源创新高效智慧协同利用示范区，发挥示范带动效应。</w:t>
      </w:r>
    </w:p>
    <w:p>
      <w:pPr>
        <w:widowControl w:val="0"/>
        <w:wordWrap/>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城乡一体，区域协同。</w:t>
      </w:r>
      <w:r>
        <w:rPr>
          <w:rFonts w:hint="eastAsia" w:ascii="仿宋_GB2312" w:hAnsi="仿宋_GB2312" w:eastAsia="仿宋_GB2312" w:cs="仿宋_GB2312"/>
          <w:color w:val="auto"/>
          <w:sz w:val="32"/>
          <w:szCs w:val="32"/>
        </w:rPr>
        <w:t>科学规划绿色低碳能源体系建设布局，探索建立城乡一体、高效协同的能源管理机制。多层次、宽领域推进与周边地区能源交流合作，实现资源优势互补、设施管网互通、合作成果共享。</w:t>
      </w:r>
    </w:p>
    <w:p>
      <w:pPr>
        <w:widowControl w:val="0"/>
        <w:wordWrap/>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以人为本，惠民利民</w:t>
      </w:r>
      <w:r>
        <w:rPr>
          <w:rFonts w:hint="eastAsia" w:ascii="仿宋_GB2312" w:hAnsi="仿宋_GB2312" w:eastAsia="仿宋_GB2312" w:cs="仿宋_GB2312"/>
          <w:color w:val="auto"/>
          <w:sz w:val="32"/>
          <w:szCs w:val="32"/>
        </w:rPr>
        <w:t>。坚持以人民为中心思想，聚焦解决用能痛点，统筹实施一批能源惠民工程，显著提升城市老旧小区、农村地区居民用能品质，满足广大市民和各类用户日益增长的多样化高品质用能需求。</w:t>
      </w:r>
    </w:p>
    <w:p>
      <w:pPr>
        <w:widowControl w:val="0"/>
        <w:wordWrap/>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深化改革，优化环境。</w:t>
      </w:r>
      <w:r>
        <w:rPr>
          <w:rFonts w:hint="eastAsia" w:ascii="仿宋_GB2312" w:hAnsi="仿宋_GB2312" w:eastAsia="仿宋_GB2312" w:cs="仿宋_GB2312"/>
          <w:color w:val="auto"/>
          <w:sz w:val="32"/>
          <w:szCs w:val="32"/>
        </w:rPr>
        <w:t>持续优化提升能源领域营商环境，不断提高市民用户用能服务便利化水平。落实电力、燃气、供热等重点领域改革措施，健全完善能源法规政策标准体系，增强能源高质量发展内生动力。</w:t>
      </w:r>
    </w:p>
    <w:p>
      <w:pPr>
        <w:widowControl w:val="0"/>
        <w:wordWrap/>
        <w:adjustRightInd/>
        <w:snapToGrid/>
        <w:spacing w:line="560" w:lineRule="exact"/>
        <w:ind w:firstLine="640" w:firstLineChars="200"/>
        <w:textAlignment w:val="auto"/>
        <w:outlineLvl w:val="0"/>
        <w:rPr>
          <w:rFonts w:ascii="Times New Roman" w:hAnsi="Times New Roman" w:eastAsia="黑体" w:cs="Times New Roman"/>
          <w:color w:val="auto"/>
          <w:sz w:val="32"/>
          <w:szCs w:val="32"/>
        </w:rPr>
      </w:pPr>
      <w:bookmarkStart w:id="39" w:name="_Toc61515269"/>
      <w:bookmarkStart w:id="40" w:name="_Toc31747"/>
      <w:bookmarkStart w:id="41" w:name="_Toc17649_WPSOffice_Level2"/>
      <w:bookmarkStart w:id="42" w:name="_Toc2718"/>
      <w:bookmarkStart w:id="43" w:name="_Toc1551"/>
      <w:bookmarkStart w:id="44" w:name="_Toc6714"/>
      <w:bookmarkStart w:id="45" w:name="_Toc11557_WPSOffice_Level2"/>
      <w:bookmarkStart w:id="46" w:name="_Toc22166"/>
      <w:bookmarkStart w:id="47" w:name="_Toc13503"/>
      <w:bookmarkStart w:id="48" w:name="_Toc584"/>
      <w:bookmarkStart w:id="49" w:name="_Toc7698"/>
      <w:bookmarkStart w:id="50" w:name="_Toc1832"/>
      <w:bookmarkStart w:id="51" w:name="_Toc20316"/>
      <w:r>
        <w:rPr>
          <w:rFonts w:ascii="Times New Roman" w:hAnsi="Times New Roman" w:eastAsia="黑体" w:cs="Times New Roman"/>
          <w:color w:val="auto"/>
          <w:sz w:val="32"/>
          <w:szCs w:val="32"/>
        </w:rPr>
        <w:t>三、主要目标</w:t>
      </w:r>
      <w:bookmarkEnd w:id="39"/>
      <w:bookmarkEnd w:id="40"/>
      <w:bookmarkEnd w:id="41"/>
      <w:bookmarkEnd w:id="42"/>
      <w:bookmarkEnd w:id="43"/>
      <w:bookmarkEnd w:id="44"/>
      <w:bookmarkEnd w:id="45"/>
      <w:bookmarkEnd w:id="46"/>
      <w:bookmarkEnd w:id="47"/>
      <w:bookmarkEnd w:id="48"/>
      <w:bookmarkEnd w:id="49"/>
      <w:bookmarkEnd w:id="50"/>
      <w:bookmarkEnd w:id="51"/>
    </w:p>
    <w:p>
      <w:pPr>
        <w:widowControl w:val="0"/>
        <w:wordWrap/>
        <w:adjustRightInd/>
        <w:snapToGrid/>
        <w:spacing w:line="560" w:lineRule="exact"/>
        <w:ind w:firstLine="640" w:firstLineChars="200"/>
        <w:textAlignment w:val="auto"/>
        <w:outlineLvl w:val="1"/>
        <w:rPr>
          <w:rFonts w:hint="eastAsia" w:ascii="楷体_GB2312" w:hAnsi="楷体_GB2312" w:eastAsia="楷体_GB2312" w:cs="楷体_GB2312"/>
          <w:b w:val="0"/>
          <w:color w:val="auto"/>
          <w:sz w:val="32"/>
          <w:szCs w:val="32"/>
        </w:rPr>
      </w:pPr>
      <w:bookmarkStart w:id="52" w:name="_Toc11286"/>
      <w:bookmarkStart w:id="53" w:name="_Toc5245"/>
      <w:bookmarkStart w:id="54" w:name="_Toc53221991"/>
      <w:bookmarkStart w:id="55" w:name="_Toc1694"/>
      <w:bookmarkStart w:id="56" w:name="_Toc61515270"/>
      <w:bookmarkStart w:id="57" w:name="_Toc12661"/>
      <w:bookmarkStart w:id="58" w:name="_Toc17939"/>
      <w:bookmarkStart w:id="59" w:name="_Toc10361"/>
      <w:bookmarkStart w:id="60" w:name="_Toc9515"/>
      <w:bookmarkStart w:id="61" w:name="_Toc5633"/>
      <w:bookmarkStart w:id="62" w:name="_Toc50988064"/>
      <w:bookmarkStart w:id="63" w:name="_Toc5378"/>
      <w:bookmarkStart w:id="64" w:name="_Toc21895"/>
      <w:bookmarkStart w:id="65" w:name="_Toc24588"/>
      <w:r>
        <w:rPr>
          <w:rFonts w:hint="eastAsia" w:ascii="楷体_GB2312" w:hAnsi="楷体_GB2312" w:eastAsia="楷体_GB2312" w:cs="楷体_GB2312"/>
          <w:b w:val="0"/>
          <w:color w:val="auto"/>
          <w:sz w:val="32"/>
          <w:szCs w:val="32"/>
        </w:rPr>
        <w:t>（一）</w:t>
      </w:r>
      <w:r>
        <w:rPr>
          <w:rFonts w:hint="eastAsia" w:ascii="楷体_GB2312" w:hAnsi="楷体_GB2312" w:eastAsia="楷体_GB2312" w:cs="楷体_GB2312"/>
          <w:b w:val="0"/>
          <w:color w:val="auto"/>
          <w:sz w:val="32"/>
          <w:szCs w:val="32"/>
          <w:lang w:val="en-US" w:eastAsia="zh-CN"/>
        </w:rPr>
        <w:t>节能</w:t>
      </w:r>
      <w:r>
        <w:rPr>
          <w:rFonts w:hint="eastAsia" w:ascii="楷体_GB2312" w:hAnsi="楷体_GB2312" w:eastAsia="楷体_GB2312" w:cs="楷体_GB2312"/>
          <w:b w:val="0"/>
          <w:color w:val="auto"/>
          <w:sz w:val="32"/>
          <w:szCs w:val="32"/>
        </w:rPr>
        <w:t>控制目标</w:t>
      </w:r>
      <w:bookmarkEnd w:id="52"/>
      <w:bookmarkEnd w:id="53"/>
      <w:bookmarkEnd w:id="54"/>
      <w:bookmarkEnd w:id="55"/>
      <w:bookmarkEnd w:id="56"/>
      <w:bookmarkEnd w:id="57"/>
      <w:bookmarkEnd w:id="58"/>
      <w:bookmarkEnd w:id="59"/>
      <w:bookmarkEnd w:id="60"/>
      <w:bookmarkEnd w:id="61"/>
      <w:bookmarkEnd w:id="62"/>
      <w:bookmarkEnd w:id="63"/>
      <w:bookmarkEnd w:id="64"/>
      <w:bookmarkEnd w:id="65"/>
    </w:p>
    <w:p>
      <w:pPr>
        <w:ind w:firstLine="640" w:firstLineChars="200"/>
        <w:rPr>
          <w:rFonts w:ascii="Times New Roman" w:hAnsi="Times New Roman" w:eastAsia="仿宋_GB2312" w:cs="Times New Roman"/>
          <w:color w:val="auto"/>
          <w:sz w:val="32"/>
        </w:rPr>
      </w:pPr>
      <w:r>
        <w:rPr>
          <w:rFonts w:hint="eastAsia" w:ascii="仿宋_GB2312" w:hAnsi="仿宋_GB2312" w:eastAsia="仿宋_GB2312" w:cs="仿宋_GB2312"/>
          <w:color w:val="auto"/>
          <w:sz w:val="32"/>
          <w:szCs w:val="32"/>
        </w:rPr>
        <w:t>综合考虑</w:t>
      </w:r>
      <w:r>
        <w:rPr>
          <w:rFonts w:hint="eastAsia" w:ascii="仿宋_GB2312" w:hAnsi="仿宋_GB2312" w:eastAsia="仿宋_GB2312" w:cs="仿宋_GB2312"/>
          <w:color w:val="auto"/>
          <w:sz w:val="32"/>
          <w:szCs w:val="32"/>
          <w:lang w:val="en-US" w:eastAsia="zh-CN"/>
        </w:rPr>
        <w:t>大兴区</w:t>
      </w:r>
      <w:r>
        <w:rPr>
          <w:rFonts w:hint="eastAsia" w:ascii="仿宋_GB2312" w:hAnsi="仿宋_GB2312" w:eastAsia="仿宋_GB2312" w:cs="仿宋_GB2312"/>
          <w:color w:val="auto"/>
          <w:sz w:val="32"/>
          <w:szCs w:val="32"/>
        </w:rPr>
        <w:t>经济社会发展和人民生活水平提升的需求，在强化能源节约、大幅提高能源效率前提下，</w:t>
      </w:r>
      <w:r>
        <w:rPr>
          <w:rFonts w:hint="eastAsia" w:ascii="仿宋_GB2312" w:hAnsi="仿宋_GB2312" w:eastAsia="仿宋_GB2312" w:cs="仿宋_GB2312"/>
          <w:color w:val="auto"/>
          <w:sz w:val="32"/>
          <w:szCs w:val="32"/>
          <w:lang w:val="en-US" w:eastAsia="zh-CN"/>
        </w:rPr>
        <w:t>到</w:t>
      </w:r>
      <w:r>
        <w:rPr>
          <w:rFonts w:hint="eastAsia" w:ascii="仿宋_GB2312" w:hAnsi="仿宋_GB2312" w:eastAsia="仿宋_GB2312" w:cs="仿宋_GB2312"/>
          <w:color w:val="auto"/>
          <w:sz w:val="32"/>
          <w:szCs w:val="32"/>
        </w:rPr>
        <w:t>2025年，单位地区生产总值能耗</w:t>
      </w:r>
      <w:r>
        <w:rPr>
          <w:rFonts w:hint="eastAsia" w:ascii="仿宋_GB2312" w:hAnsi="仿宋_GB2312" w:eastAsia="仿宋_GB2312" w:cs="仿宋_GB2312"/>
          <w:color w:val="auto"/>
          <w:sz w:val="32"/>
          <w:szCs w:val="32"/>
          <w:lang w:val="en-US" w:eastAsia="zh-CN"/>
        </w:rPr>
        <w:t>达到</w:t>
      </w:r>
      <w:r>
        <w:rPr>
          <w:rFonts w:hint="eastAsia" w:ascii="仿宋_GB2312" w:hAnsi="仿宋_GB2312" w:eastAsia="仿宋_GB2312" w:cs="仿宋_GB2312"/>
          <w:color w:val="auto"/>
          <w:sz w:val="32"/>
          <w:szCs w:val="32"/>
        </w:rPr>
        <w:t>市级</w:t>
      </w:r>
      <w:r>
        <w:rPr>
          <w:rFonts w:hint="eastAsia" w:ascii="仿宋_GB2312" w:hAnsi="仿宋_GB2312" w:eastAsia="仿宋_GB2312" w:cs="仿宋_GB2312"/>
          <w:color w:val="auto"/>
          <w:sz w:val="32"/>
          <w:szCs w:val="32"/>
          <w:lang w:val="en-US" w:eastAsia="zh-CN"/>
        </w:rPr>
        <w:t>指标</w:t>
      </w:r>
      <w:r>
        <w:rPr>
          <w:rFonts w:hint="eastAsia" w:ascii="仿宋_GB2312" w:hAnsi="仿宋_GB2312" w:eastAsia="仿宋_GB2312" w:cs="仿宋_GB2312"/>
          <w:color w:val="auto"/>
          <w:sz w:val="32"/>
          <w:szCs w:val="32"/>
        </w:rPr>
        <w:t>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全区能源消费总量控制</w:t>
      </w:r>
      <w:r>
        <w:rPr>
          <w:rFonts w:hint="eastAsia" w:ascii="仿宋_GB2312" w:hAnsi="仿宋_GB2312" w:eastAsia="仿宋_GB2312" w:cs="仿宋_GB2312"/>
          <w:color w:val="auto"/>
          <w:sz w:val="32"/>
          <w:szCs w:val="32"/>
          <w:lang w:val="en-US" w:eastAsia="zh-CN"/>
        </w:rPr>
        <w:t>达到市级</w:t>
      </w:r>
      <w:r>
        <w:rPr>
          <w:rFonts w:hint="eastAsia" w:ascii="仿宋_GB2312" w:hAnsi="仿宋_GB2312" w:eastAsia="仿宋_GB2312" w:cs="仿宋_GB2312"/>
          <w:color w:val="auto"/>
          <w:sz w:val="32"/>
          <w:szCs w:val="32"/>
          <w:lang w:eastAsia="zh-CN"/>
        </w:rPr>
        <w:t>指标</w:t>
      </w:r>
      <w:r>
        <w:rPr>
          <w:rFonts w:hint="eastAsia" w:ascii="仿宋_GB2312" w:hAnsi="仿宋_GB2312" w:eastAsia="仿宋_GB2312" w:cs="仿宋_GB2312"/>
          <w:color w:val="auto"/>
          <w:sz w:val="32"/>
          <w:szCs w:val="32"/>
          <w:lang w:val="en-US" w:eastAsia="zh-CN"/>
        </w:rPr>
        <w:t>要求</w:t>
      </w:r>
      <w:r>
        <w:rPr>
          <w:rFonts w:hint="eastAsia" w:ascii="仿宋_GB2312" w:hAnsi="仿宋_GB2312" w:eastAsia="仿宋_GB2312" w:cs="仿宋_GB2312"/>
          <w:color w:val="auto"/>
          <w:sz w:val="32"/>
          <w:szCs w:val="32"/>
          <w:lang w:eastAsia="zh-CN"/>
        </w:rPr>
        <w:t>。</w:t>
      </w:r>
    </w:p>
    <w:p>
      <w:pPr>
        <w:widowControl w:val="0"/>
        <w:wordWrap/>
        <w:adjustRightInd/>
        <w:snapToGrid/>
        <w:spacing w:line="560" w:lineRule="exact"/>
        <w:ind w:firstLine="640" w:firstLineChars="200"/>
        <w:textAlignment w:val="auto"/>
        <w:outlineLvl w:val="1"/>
        <w:rPr>
          <w:rFonts w:hint="eastAsia" w:ascii="楷体_GB2312" w:hAnsi="楷体_GB2312" w:eastAsia="楷体_GB2312" w:cs="楷体_GB2312"/>
          <w:b w:val="0"/>
          <w:color w:val="auto"/>
          <w:sz w:val="32"/>
          <w:szCs w:val="32"/>
        </w:rPr>
      </w:pPr>
      <w:bookmarkStart w:id="66" w:name="_Toc23488"/>
      <w:bookmarkStart w:id="67" w:name="_Toc61515271"/>
      <w:bookmarkStart w:id="68" w:name="_Toc2219"/>
      <w:bookmarkStart w:id="69" w:name="_Toc22445"/>
      <w:bookmarkStart w:id="70" w:name="_Toc23579"/>
      <w:bookmarkStart w:id="71" w:name="_Toc13870"/>
      <w:bookmarkStart w:id="72" w:name="_Toc50988065"/>
      <w:bookmarkStart w:id="73" w:name="_Toc14437"/>
      <w:bookmarkStart w:id="74" w:name="_Toc18511"/>
      <w:bookmarkStart w:id="75" w:name="_Toc25188"/>
      <w:bookmarkStart w:id="76" w:name="_Toc13805"/>
      <w:bookmarkStart w:id="77" w:name="_Toc2149"/>
      <w:bookmarkStart w:id="78" w:name="_Toc53221992"/>
      <w:bookmarkStart w:id="79" w:name="_Toc7854"/>
      <w:r>
        <w:rPr>
          <w:rFonts w:hint="eastAsia" w:ascii="楷体_GB2312" w:hAnsi="楷体_GB2312" w:eastAsia="楷体_GB2312" w:cs="楷体_GB2312"/>
          <w:b w:val="0"/>
          <w:color w:val="auto"/>
          <w:sz w:val="32"/>
          <w:szCs w:val="32"/>
        </w:rPr>
        <w:t>（二）能源结构优化目标</w:t>
      </w:r>
      <w:bookmarkEnd w:id="66"/>
      <w:bookmarkEnd w:id="67"/>
      <w:bookmarkEnd w:id="68"/>
      <w:bookmarkEnd w:id="69"/>
      <w:bookmarkEnd w:id="70"/>
      <w:bookmarkEnd w:id="71"/>
      <w:bookmarkEnd w:id="72"/>
      <w:bookmarkEnd w:id="73"/>
      <w:bookmarkEnd w:id="74"/>
      <w:bookmarkEnd w:id="75"/>
      <w:bookmarkEnd w:id="76"/>
      <w:bookmarkEnd w:id="77"/>
      <w:bookmarkEnd w:id="78"/>
      <w:bookmarkEnd w:id="79"/>
    </w:p>
    <w:p>
      <w:pPr>
        <w:spacing w:line="560" w:lineRule="exact"/>
        <w:ind w:firstLine="640" w:firstLineChars="200"/>
        <w:rPr>
          <w:rFonts w:ascii="Times New Roman" w:hAnsi="Times New Roman" w:eastAsia="仿宋" w:cs="Times New Roman"/>
          <w:color w:val="auto"/>
          <w:sz w:val="32"/>
          <w:szCs w:val="32"/>
        </w:rPr>
      </w:pPr>
      <w:r>
        <w:rPr>
          <w:rFonts w:hint="eastAsia" w:ascii="仿宋_GB2312" w:hAnsi="仿宋_GB2312" w:eastAsia="仿宋_GB2312" w:cs="仿宋_GB2312"/>
          <w:color w:val="auto"/>
          <w:sz w:val="32"/>
          <w:szCs w:val="32"/>
        </w:rPr>
        <w:t>到2025年，大兴区优质能源比重达到100%。全区新能源和可再生能源比重达到</w:t>
      </w:r>
      <w:r>
        <w:rPr>
          <w:rFonts w:hint="eastAsia" w:ascii="仿宋_GB2312" w:hAnsi="仿宋_GB2312" w:eastAsia="仿宋_GB2312" w:cs="仿宋_GB2312"/>
          <w:color w:val="auto"/>
          <w:sz w:val="32"/>
          <w:szCs w:val="32"/>
          <w:lang w:val="en-US" w:eastAsia="zh-CN"/>
        </w:rPr>
        <w:t>市级指标要求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其中北京</w:t>
      </w:r>
      <w:r>
        <w:rPr>
          <w:rFonts w:hint="eastAsia" w:ascii="仿宋_GB2312" w:hAnsi="仿宋_GB2312" w:eastAsia="仿宋_GB2312" w:cs="仿宋_GB2312"/>
          <w:color w:val="auto"/>
          <w:sz w:val="32"/>
          <w:szCs w:val="32"/>
        </w:rPr>
        <w:t>大兴国际机场临空</w:t>
      </w:r>
      <w:r>
        <w:rPr>
          <w:rFonts w:hint="eastAsia" w:ascii="仿宋_GB2312" w:hAnsi="仿宋_GB2312" w:eastAsia="仿宋_GB2312" w:cs="仿宋_GB2312"/>
          <w:color w:val="auto"/>
          <w:sz w:val="32"/>
          <w:szCs w:val="32"/>
          <w:lang w:val="en-US" w:eastAsia="zh-CN"/>
        </w:rPr>
        <w:t>经济</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val="en-US" w:eastAsia="zh-CN"/>
        </w:rPr>
        <w:t>新建区域可再生能源占比不低于20%</w:t>
      </w:r>
      <w:r>
        <w:rPr>
          <w:rFonts w:hint="eastAsia" w:ascii="仿宋_GB2312" w:hAnsi="仿宋_GB2312" w:eastAsia="仿宋_GB2312" w:cs="仿宋_GB2312"/>
          <w:color w:val="auto"/>
          <w:sz w:val="32"/>
          <w:szCs w:val="32"/>
        </w:rPr>
        <w:t>。</w:t>
      </w:r>
    </w:p>
    <w:p>
      <w:pPr>
        <w:widowControl w:val="0"/>
        <w:wordWrap/>
        <w:adjustRightInd/>
        <w:snapToGrid/>
        <w:spacing w:line="560" w:lineRule="exact"/>
        <w:ind w:firstLine="640" w:firstLineChars="200"/>
        <w:textAlignment w:val="auto"/>
        <w:outlineLvl w:val="1"/>
        <w:rPr>
          <w:rFonts w:hint="eastAsia" w:ascii="楷体_GB2312" w:hAnsi="楷体_GB2312" w:eastAsia="楷体_GB2312" w:cs="楷体_GB2312"/>
          <w:b w:val="0"/>
          <w:color w:val="auto"/>
          <w:sz w:val="32"/>
          <w:szCs w:val="32"/>
        </w:rPr>
      </w:pPr>
      <w:bookmarkStart w:id="80" w:name="_Toc23232"/>
      <w:bookmarkStart w:id="81" w:name="_Toc17664"/>
      <w:bookmarkStart w:id="82" w:name="_Toc26301"/>
      <w:bookmarkStart w:id="83" w:name="_Toc61515272"/>
      <w:bookmarkStart w:id="84" w:name="_Toc50988066"/>
      <w:bookmarkStart w:id="85" w:name="_Toc6703"/>
      <w:bookmarkStart w:id="86" w:name="_Toc32297"/>
      <w:bookmarkStart w:id="87" w:name="_Toc1028"/>
      <w:bookmarkStart w:id="88" w:name="_Toc4644"/>
      <w:bookmarkStart w:id="89" w:name="_Toc53221993"/>
      <w:bookmarkStart w:id="90" w:name="_Toc18579"/>
      <w:bookmarkStart w:id="91" w:name="_Toc19341"/>
      <w:bookmarkStart w:id="92" w:name="_Toc20903"/>
      <w:bookmarkStart w:id="93" w:name="_Toc31716"/>
      <w:r>
        <w:rPr>
          <w:rFonts w:hint="eastAsia" w:ascii="楷体_GB2312" w:hAnsi="楷体_GB2312" w:eastAsia="楷体_GB2312" w:cs="楷体_GB2312"/>
          <w:b w:val="0"/>
          <w:color w:val="auto"/>
          <w:sz w:val="32"/>
          <w:szCs w:val="32"/>
        </w:rPr>
        <w:t>（三）</w:t>
      </w:r>
      <w:r>
        <w:rPr>
          <w:rFonts w:hint="eastAsia" w:ascii="楷体_GB2312" w:hAnsi="楷体_GB2312" w:eastAsia="楷体_GB2312" w:cs="楷体_GB2312"/>
          <w:b w:val="0"/>
          <w:color w:val="auto"/>
          <w:sz w:val="32"/>
          <w:szCs w:val="32"/>
          <w:lang w:val="en-US" w:eastAsia="zh-CN"/>
        </w:rPr>
        <w:t>减碳控制</w:t>
      </w:r>
      <w:r>
        <w:rPr>
          <w:rFonts w:hint="eastAsia" w:ascii="楷体_GB2312" w:hAnsi="楷体_GB2312" w:eastAsia="楷体_GB2312" w:cs="楷体_GB2312"/>
          <w:b w:val="0"/>
          <w:color w:val="auto"/>
          <w:sz w:val="32"/>
          <w:szCs w:val="32"/>
        </w:rPr>
        <w:t>目标</w:t>
      </w:r>
      <w:bookmarkEnd w:id="80"/>
      <w:bookmarkEnd w:id="81"/>
      <w:bookmarkEnd w:id="82"/>
      <w:bookmarkEnd w:id="83"/>
      <w:bookmarkEnd w:id="84"/>
      <w:bookmarkEnd w:id="85"/>
      <w:bookmarkEnd w:id="86"/>
      <w:bookmarkEnd w:id="87"/>
      <w:bookmarkEnd w:id="88"/>
      <w:bookmarkEnd w:id="89"/>
      <w:bookmarkEnd w:id="90"/>
      <w:bookmarkEnd w:id="91"/>
      <w:bookmarkEnd w:id="92"/>
      <w:bookmarkEnd w:id="93"/>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到2025年，能源领域二氧化碳排放总量在达峰的基础上力争稳步下降，万元GDP二氧化碳排放强度下降幅度达到市级要求。</w:t>
      </w:r>
    </w:p>
    <w:p>
      <w:pPr>
        <w:widowControl w:val="0"/>
        <w:wordWrap/>
        <w:adjustRightInd/>
        <w:snapToGrid/>
        <w:spacing w:line="560" w:lineRule="exact"/>
        <w:ind w:firstLine="640" w:firstLineChars="200"/>
        <w:textAlignment w:val="auto"/>
        <w:outlineLvl w:val="1"/>
        <w:rPr>
          <w:rFonts w:hint="eastAsia" w:ascii="楷体_GB2312" w:hAnsi="楷体_GB2312" w:eastAsia="楷体_GB2312" w:cs="楷体_GB2312"/>
          <w:b w:val="0"/>
          <w:color w:val="auto"/>
          <w:sz w:val="32"/>
          <w:szCs w:val="32"/>
        </w:rPr>
      </w:pPr>
      <w:bookmarkStart w:id="94" w:name="_Toc6051"/>
      <w:bookmarkStart w:id="95" w:name="_Toc14693"/>
      <w:bookmarkStart w:id="96" w:name="_Toc10118"/>
      <w:r>
        <w:rPr>
          <w:rFonts w:hint="eastAsia" w:ascii="楷体_GB2312" w:hAnsi="楷体_GB2312" w:eastAsia="楷体_GB2312" w:cs="楷体_GB2312"/>
          <w:b w:val="0"/>
          <w:color w:val="auto"/>
          <w:sz w:val="32"/>
          <w:szCs w:val="32"/>
        </w:rPr>
        <w:t>（四）设施保障能力建设目标</w:t>
      </w:r>
      <w:bookmarkEnd w:id="94"/>
      <w:bookmarkEnd w:id="95"/>
      <w:bookmarkEnd w:id="96"/>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1.电力。</w:t>
      </w:r>
      <w:r>
        <w:rPr>
          <w:rFonts w:hint="eastAsia" w:ascii="仿宋_GB2312" w:hAnsi="仿宋_GB2312" w:eastAsia="仿宋_GB2312" w:cs="仿宋_GB2312"/>
          <w:color w:val="auto"/>
          <w:sz w:val="32"/>
          <w:szCs w:val="32"/>
        </w:rPr>
        <w:t>主配网格局进一步优化。全区110千伏及以上设备可靠性进一步增强，10千伏线路联络率100%，配电自动化覆盖率100%，智能电表覆盖率100%，全区供电可靠性达到99.98%。农村地区电压合格率达到99.9%。</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2.燃气。</w:t>
      </w:r>
      <w:r>
        <w:rPr>
          <w:rFonts w:hint="eastAsia" w:ascii="仿宋_GB2312" w:hAnsi="仿宋_GB2312" w:eastAsia="仿宋_GB2312" w:cs="仿宋_GB2312"/>
          <w:color w:val="auto"/>
          <w:sz w:val="32"/>
          <w:szCs w:val="32"/>
        </w:rPr>
        <w:t>规划建设城南门站、京台高压A管线等，全区输配管网逐步形成七横五纵的高压供气管网布局，实现大兴区管道气供应全覆盖，村镇燃气输配体系持续完善。</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3.供热。</w:t>
      </w:r>
      <w:r>
        <w:rPr>
          <w:rFonts w:hint="eastAsia" w:ascii="仿宋_GB2312" w:hAnsi="仿宋_GB2312" w:eastAsia="仿宋_GB2312" w:cs="仿宋_GB2312"/>
          <w:color w:val="auto"/>
          <w:sz w:val="32"/>
          <w:szCs w:val="32"/>
        </w:rPr>
        <w:t>全区建立经济、安全、清洁、高效的城镇供热系统，城区以集中燃气锅炉供热为主，未来结合供热需求规划建设区域供热中心，配套规划街区供热调峰锅炉；农村地区以电采暖、液化天然气为主，全区地源热泵、太阳能等新能源供热比例及规模逐步提升。</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4.油品。</w:t>
      </w:r>
      <w:r>
        <w:rPr>
          <w:rFonts w:hint="eastAsia" w:ascii="仿宋_GB2312" w:hAnsi="仿宋_GB2312" w:eastAsia="仿宋_GB2312" w:cs="仿宋_GB2312"/>
          <w:color w:val="auto"/>
          <w:sz w:val="32"/>
          <w:szCs w:val="32"/>
        </w:rPr>
        <w:t>在车流量大、加油站需求旺的交通要道，优化加油站布局，统筹发展加油加气站，结合充电桩发展规划探索建设油气电合建站。</w:t>
      </w:r>
    </w:p>
    <w:p>
      <w:pPr>
        <w:widowControl w:val="0"/>
        <w:wordWrap/>
        <w:adjustRightInd/>
        <w:snapToGrid/>
        <w:spacing w:line="560" w:lineRule="exact"/>
        <w:ind w:firstLine="640" w:firstLineChars="200"/>
        <w:textAlignment w:val="auto"/>
        <w:outlineLvl w:val="1"/>
        <w:rPr>
          <w:rFonts w:hint="eastAsia" w:ascii="楷体_GB2312" w:hAnsi="楷体_GB2312" w:eastAsia="楷体_GB2312" w:cs="楷体_GB2312"/>
          <w:b w:val="0"/>
          <w:color w:val="auto"/>
          <w:sz w:val="32"/>
          <w:szCs w:val="32"/>
        </w:rPr>
      </w:pPr>
      <w:bookmarkStart w:id="97" w:name="_Toc14865"/>
      <w:bookmarkStart w:id="98" w:name="_Toc18210"/>
      <w:bookmarkStart w:id="99" w:name="_Toc6296"/>
      <w:bookmarkStart w:id="100" w:name="_Toc20086"/>
      <w:bookmarkStart w:id="101" w:name="_Toc29327"/>
      <w:bookmarkStart w:id="102" w:name="_Toc28604"/>
      <w:bookmarkStart w:id="103" w:name="_Toc19135"/>
      <w:bookmarkStart w:id="104" w:name="_Toc61515274"/>
      <w:bookmarkStart w:id="105" w:name="_Toc53221995"/>
      <w:bookmarkStart w:id="106" w:name="_Toc4727"/>
      <w:bookmarkStart w:id="107" w:name="_Toc9706"/>
      <w:bookmarkStart w:id="108" w:name="_Toc25734"/>
      <w:bookmarkStart w:id="109" w:name="_Toc50988068"/>
      <w:bookmarkStart w:id="110" w:name="_Toc28832"/>
      <w:r>
        <w:rPr>
          <w:rFonts w:hint="eastAsia" w:ascii="楷体_GB2312" w:hAnsi="楷体_GB2312" w:eastAsia="楷体_GB2312" w:cs="楷体_GB2312"/>
          <w:b w:val="0"/>
          <w:color w:val="auto"/>
          <w:sz w:val="32"/>
          <w:szCs w:val="32"/>
        </w:rPr>
        <w:t>（五）能源惠民目标</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spacing w:line="560" w:lineRule="exact"/>
        <w:ind w:firstLine="640" w:firstLineChars="200"/>
        <w:rPr>
          <w:rFonts w:ascii="Times New Roman" w:hAnsi="Times New Roman" w:eastAsia="楷体" w:cs="Times New Roman"/>
          <w:color w:val="auto"/>
          <w:sz w:val="28"/>
          <w:szCs w:val="28"/>
        </w:rPr>
      </w:pPr>
      <w:r>
        <w:rPr>
          <w:rFonts w:hint="eastAsia" w:ascii="仿宋_GB2312" w:hAnsi="仿宋_GB2312" w:eastAsia="仿宋_GB2312" w:cs="仿宋_GB2312"/>
          <w:color w:val="auto"/>
          <w:sz w:val="32"/>
          <w:szCs w:val="32"/>
        </w:rPr>
        <w:t>基本完成全区老旧供热管网消隐改造；全区居民气化率100%；</w:t>
      </w:r>
      <w:r>
        <w:rPr>
          <w:rFonts w:hint="eastAsia" w:ascii="仿宋_GB2312" w:hAnsi="仿宋_GB2312" w:eastAsia="仿宋_GB2312" w:cs="仿宋_GB2312"/>
          <w:color w:val="auto"/>
          <w:sz w:val="32"/>
          <w:szCs w:val="32"/>
          <w:lang w:val="en-US" w:eastAsia="zh-CN"/>
        </w:rPr>
        <w:t>基本</w:t>
      </w:r>
      <w:r>
        <w:rPr>
          <w:rFonts w:hint="eastAsia" w:ascii="仿宋_GB2312" w:hAnsi="仿宋_GB2312" w:eastAsia="仿宋_GB2312" w:cs="仿宋_GB2312"/>
          <w:color w:val="auto"/>
          <w:sz w:val="32"/>
          <w:szCs w:val="32"/>
        </w:rPr>
        <w:t>完成</w:t>
      </w:r>
      <w:r>
        <w:rPr>
          <w:rFonts w:hint="eastAsia" w:ascii="仿宋_GB2312" w:hAnsi="仿宋_GB2312" w:eastAsia="仿宋_GB2312" w:cs="仿宋_GB2312"/>
          <w:color w:val="auto"/>
          <w:sz w:val="32"/>
          <w:szCs w:val="32"/>
          <w:lang w:val="en-US" w:eastAsia="zh-CN"/>
        </w:rPr>
        <w:t>存量</w:t>
      </w:r>
      <w:r>
        <w:rPr>
          <w:rFonts w:hint="eastAsia" w:ascii="仿宋_GB2312" w:hAnsi="仿宋_GB2312" w:eastAsia="仿宋_GB2312" w:cs="仿宋_GB2312"/>
          <w:color w:val="auto"/>
          <w:sz w:val="32"/>
          <w:szCs w:val="32"/>
        </w:rPr>
        <w:t>老旧居民小区电网配电设施改造工程，提升农网设施水平，到2025年户均变电容量</w:t>
      </w:r>
      <w:r>
        <w:rPr>
          <w:rFonts w:hint="eastAsia" w:ascii="仿宋_GB2312" w:hAnsi="仿宋_GB2312" w:eastAsia="仿宋_GB2312" w:cs="仿宋_GB2312"/>
          <w:color w:val="auto"/>
          <w:sz w:val="32"/>
          <w:szCs w:val="32"/>
          <w:lang w:val="en-US" w:eastAsia="zh-CN"/>
        </w:rPr>
        <w:t>满足农网用电需求</w:t>
      </w:r>
      <w:r>
        <w:rPr>
          <w:rFonts w:hint="eastAsia" w:ascii="仿宋_GB2312" w:hAnsi="仿宋_GB2312" w:eastAsia="仿宋_GB2312" w:cs="仿宋_GB2312"/>
          <w:color w:val="auto"/>
          <w:sz w:val="32"/>
          <w:szCs w:val="32"/>
        </w:rPr>
        <w:t>，农村电采暖用户户均变电容量达到9千伏安。</w:t>
      </w:r>
    </w:p>
    <w:p>
      <w:pPr>
        <w:spacing w:line="560" w:lineRule="atLeast"/>
        <w:ind w:firstLine="560"/>
        <w:rPr>
          <w:rFonts w:ascii="Times New Roman" w:hAnsi="Times New Roman" w:eastAsia="仿宋" w:cs="Times New Roman"/>
          <w:color w:val="auto"/>
          <w:sz w:val="32"/>
          <w:szCs w:val="32"/>
        </w:rPr>
        <w:sectPr>
          <w:pgSz w:w="11906" w:h="16838"/>
          <w:pgMar w:top="1440" w:right="1800" w:bottom="1440" w:left="1800" w:header="851" w:footer="992" w:gutter="0"/>
          <w:pgNumType w:fmt="decimal"/>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3DFBC9-B55C-4C93-B364-5BEBD2F205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D875119-BA3E-4984-8244-CFC34E8C506E}"/>
  </w:font>
  <w:font w:name="仿宋_GB2312">
    <w:altName w:val="仿宋"/>
    <w:panose1 w:val="02010609030101010101"/>
    <w:charset w:val="86"/>
    <w:family w:val="auto"/>
    <w:pitch w:val="default"/>
    <w:sig w:usb0="00000000" w:usb1="00000000" w:usb2="00000000" w:usb3="00000000" w:csb0="00040000" w:csb1="00000000"/>
    <w:embedRegular r:id="rId3" w:fontKey="{DAFD9A33-A6D8-45D2-A5B1-97FCCFB24CD1}"/>
  </w:font>
  <w:font w:name="方正小标宋简体">
    <w:panose1 w:val="02000000000000000000"/>
    <w:charset w:val="86"/>
    <w:family w:val="auto"/>
    <w:pitch w:val="default"/>
    <w:sig w:usb0="00000001" w:usb1="08000000" w:usb2="00000000" w:usb3="00000000" w:csb0="00040000" w:csb1="00000000"/>
    <w:embedRegular r:id="rId4" w:fontKey="{D73C3FF5-AFE6-427B-B982-27E690222CF9}"/>
  </w:font>
  <w:font w:name="楷体_GB2312">
    <w:altName w:val="楷体"/>
    <w:panose1 w:val="02010609030101010101"/>
    <w:charset w:val="86"/>
    <w:family w:val="auto"/>
    <w:pitch w:val="default"/>
    <w:sig w:usb0="00000000" w:usb1="00000000" w:usb2="00000000" w:usb3="00000000" w:csb0="00040000" w:csb1="00000000"/>
    <w:embedRegular r:id="rId5" w:fontKey="{5907B5A1-66EB-4E54-808D-9A3A10FC94A5}"/>
  </w:font>
  <w:font w:name="仿宋">
    <w:panose1 w:val="02010609060101010101"/>
    <w:charset w:val="86"/>
    <w:family w:val="auto"/>
    <w:pitch w:val="default"/>
    <w:sig w:usb0="800002BF" w:usb1="38CF7CFA" w:usb2="00000016" w:usb3="00000000" w:csb0="00040001" w:csb1="00000000"/>
    <w:embedRegular r:id="rId6" w:fontKey="{3083E343-D442-46FE-8D63-BB7636D899AF}"/>
  </w:font>
  <w:font w:name="楷体">
    <w:panose1 w:val="02010609060101010101"/>
    <w:charset w:val="86"/>
    <w:family w:val="auto"/>
    <w:pitch w:val="default"/>
    <w:sig w:usb0="800002BF" w:usb1="38CF7CFA" w:usb2="00000016" w:usb3="00000000" w:csb0="00040001" w:csb1="00000000"/>
    <w:embedRegular r:id="rId7" w:fontKey="{9E26610A-39D1-4216-A825-9285984CCDCA}"/>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DEzMjhjYzAyOGQ2M2M1OWQ1ODAyZTg4N2UwN2UifQ=="/>
  </w:docVars>
  <w:rsids>
    <w:rsidRoot w:val="377D27FF"/>
    <w:rsid w:val="377D2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Calibri" w:hAnsi="Calibri" w:eastAsia="宋体" w:cs="黑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560" w:lineRule="exact"/>
    </w:pPr>
    <w:rPr>
      <w:rFonts w:eastAsia="仿宋_GB2312" w:cs="Times New Roman"/>
      <w:sz w:val="32"/>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1624</Words>
  <Characters>1672</Characters>
  <Lines>0</Lines>
  <Paragraphs>0</Paragraphs>
  <TotalTime>2</TotalTime>
  <ScaleCrop>false</ScaleCrop>
  <LinksUpToDate>false</LinksUpToDate>
  <CharactersWithSpaces>1673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2022-12-06T09:17:00Z</dcterms:created>
  <dc:creator>米露露</dc:creator>
  <cp:lastModifiedBy>米露露</cp:lastModifiedBy>
  <dcterms:modified xsi:type="dcterms:W3CDTF">2022-12-06T09:20:20Z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2E3D1A07846E49C5979F3915E5747754</vt:lpwstr>
  </property>
</Properties>
</file>