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firstLine="0" w:firstLineChars="0"/>
        <w:jc w:val="center"/>
        <w:rPr>
          <w:rFonts w:ascii="方正小标宋简体" w:hAnsi="Times New Roman" w:eastAsia="方正小标宋简体"/>
          <w:b/>
          <w:sz w:val="52"/>
          <w:szCs w:val="52"/>
        </w:rPr>
      </w:pPr>
      <w:bookmarkStart w:id="0" w:name="_Toc423942643"/>
    </w:p>
    <w:p>
      <w:pPr>
        <w:spacing w:line="540" w:lineRule="exact"/>
        <w:ind w:firstLine="0" w:firstLineChars="0"/>
        <w:jc w:val="center"/>
        <w:rPr>
          <w:rFonts w:ascii="方正小标宋简体" w:hAnsi="Times New Roman" w:eastAsia="方正小标宋简体"/>
          <w:b/>
          <w:sz w:val="52"/>
          <w:szCs w:val="52"/>
        </w:rPr>
      </w:pPr>
    </w:p>
    <w:p>
      <w:pPr>
        <w:spacing w:line="240" w:lineRule="auto"/>
        <w:ind w:firstLineChars="0"/>
        <w:jc w:val="center"/>
        <w:rPr>
          <w:rFonts w:ascii="方正小标宋简体" w:hAnsi="Times New Roman" w:eastAsia="方正小标宋简体"/>
          <w:spacing w:val="-20"/>
          <w:sz w:val="52"/>
          <w:szCs w:val="52"/>
        </w:rPr>
      </w:pPr>
      <w:r>
        <w:rPr>
          <w:rFonts w:hint="eastAsia" w:ascii="方正小标宋简体" w:hAnsi="Times New Roman" w:eastAsia="方正小标宋简体"/>
          <w:spacing w:val="-20"/>
          <w:sz w:val="52"/>
          <w:szCs w:val="52"/>
        </w:rPr>
        <w:t>北京市大兴区和北京经济技术开发区“十三五”期间民政和社会福利事业</w:t>
      </w:r>
    </w:p>
    <w:p>
      <w:pPr>
        <w:spacing w:line="240" w:lineRule="auto"/>
        <w:ind w:firstLineChars="0"/>
        <w:jc w:val="center"/>
        <w:rPr>
          <w:spacing w:val="-20"/>
        </w:rPr>
      </w:pPr>
      <w:r>
        <w:rPr>
          <w:rFonts w:hint="eastAsia" w:ascii="方正小标宋简体" w:hAnsi="Times New Roman" w:eastAsia="方正小标宋简体"/>
          <w:spacing w:val="-20"/>
          <w:sz w:val="52"/>
          <w:szCs w:val="52"/>
        </w:rPr>
        <w:t>发展规划</w:t>
      </w: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spacing w:line="600" w:lineRule="exact"/>
        <w:ind w:firstLine="640"/>
        <w:rPr>
          <w:rFonts w:ascii="仿宋_GB2312" w:hAnsi="Times New Roman"/>
          <w:szCs w:val="32"/>
        </w:rPr>
      </w:pPr>
    </w:p>
    <w:p>
      <w:pPr>
        <w:adjustRightInd w:val="0"/>
        <w:snapToGrid w:val="0"/>
        <w:spacing w:line="360" w:lineRule="auto"/>
        <w:ind w:firstLine="0" w:firstLineChars="0"/>
        <w:jc w:val="center"/>
        <w:rPr>
          <w:rFonts w:ascii="Times New Roman" w:hAnsi="黑体" w:eastAsia="黑体"/>
          <w:color w:val="000000"/>
          <w:sz w:val="36"/>
          <w:szCs w:val="36"/>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1440" w:right="1800" w:bottom="1440" w:left="1800" w:header="851" w:footer="992" w:gutter="0"/>
          <w:cols w:space="720" w:num="1"/>
          <w:docGrid w:type="lines" w:linePitch="312" w:charSpace="0"/>
        </w:sectPr>
      </w:pPr>
      <w:r>
        <w:rPr>
          <w:rFonts w:hint="eastAsia" w:ascii="Times New Roman" w:hAnsi="黑体" w:eastAsia="黑体"/>
          <w:color w:val="000000"/>
          <w:sz w:val="36"/>
          <w:szCs w:val="36"/>
        </w:rPr>
        <w:t>二〇一六年十月</w:t>
      </w:r>
    </w:p>
    <w:p>
      <w:pPr>
        <w:pStyle w:val="35"/>
        <w:spacing w:before="480" w:line="520" w:lineRule="exact"/>
        <w:ind w:firstLine="723"/>
        <w:jc w:val="center"/>
        <w:rPr>
          <w:rFonts w:ascii="Times New Roman" w:hAnsi="Times New Roman"/>
          <w:color w:val="000000"/>
        </w:rPr>
      </w:pPr>
      <w:r>
        <w:rPr>
          <w:rFonts w:hint="eastAsia" w:ascii="Times New Roman" w:hAnsi="黑体" w:eastAsia="黑体"/>
          <w:color w:val="000000"/>
          <w:sz w:val="36"/>
          <w:szCs w:val="36"/>
        </w:rPr>
        <w:t>目</w:t>
      </w:r>
      <w:r>
        <w:rPr>
          <w:rFonts w:ascii="Times New Roman" w:hAnsi="黑体" w:eastAsia="黑体"/>
          <w:color w:val="000000"/>
          <w:sz w:val="36"/>
          <w:szCs w:val="36"/>
        </w:rPr>
        <w:t xml:space="preserve"> </w:t>
      </w:r>
      <w:r>
        <w:rPr>
          <w:rFonts w:hint="eastAsia" w:ascii="Times New Roman" w:hAnsi="黑体" w:eastAsia="黑体"/>
          <w:color w:val="000000"/>
          <w:sz w:val="36"/>
          <w:szCs w:val="36"/>
        </w:rPr>
        <w:t>录</w:t>
      </w:r>
    </w:p>
    <w:p>
      <w:pPr>
        <w:pStyle w:val="12"/>
        <w:tabs>
          <w:tab w:val="right" w:leader="dot" w:pos="8296"/>
        </w:tabs>
        <w:ind w:firstLine="560"/>
        <w:rPr>
          <w:rFonts w:ascii="Calibri" w:hAnsi="Calibri" w:eastAsia="宋体"/>
          <w:bCs w:val="0"/>
          <w:kern w:val="2"/>
          <w:sz w:val="21"/>
          <w:szCs w:val="22"/>
        </w:rPr>
      </w:pPr>
      <w:r>
        <w:rPr>
          <w:bCs w:val="0"/>
        </w:rPr>
        <w:fldChar w:fldCharType="begin"/>
      </w:r>
      <w:r>
        <w:rPr>
          <w:bCs w:val="0"/>
        </w:rPr>
        <w:instrText xml:space="preserve"> TOC \o "1-3" \h \z \u </w:instrText>
      </w:r>
      <w:r>
        <w:rPr>
          <w:bCs w:val="0"/>
        </w:rPr>
        <w:fldChar w:fldCharType="separate"/>
      </w:r>
      <w:r>
        <w:fldChar w:fldCharType="begin"/>
      </w:r>
      <w:r>
        <w:instrText xml:space="preserve"> HYPERLINK \l "_Toc460247824" </w:instrText>
      </w:r>
      <w:r>
        <w:fldChar w:fldCharType="separate"/>
      </w:r>
      <w:r>
        <w:rPr>
          <w:rStyle w:val="22"/>
          <w:rFonts w:hint="eastAsia"/>
        </w:rPr>
        <w:t>序</w:t>
      </w:r>
      <w:r>
        <w:rPr>
          <w:rStyle w:val="22"/>
        </w:rPr>
        <w:t xml:space="preserve">  </w:t>
      </w:r>
      <w:r>
        <w:rPr>
          <w:rStyle w:val="22"/>
          <w:rFonts w:hint="eastAsia"/>
        </w:rPr>
        <w:t>言</w:t>
      </w:r>
      <w:r>
        <w:tab/>
      </w:r>
      <w:r>
        <w:fldChar w:fldCharType="begin"/>
      </w:r>
      <w:r>
        <w:instrText xml:space="preserve"> PAGEREF _Toc460247824 \h </w:instrText>
      </w:r>
      <w:r>
        <w:fldChar w:fldCharType="separate"/>
      </w:r>
      <w:r>
        <w:t>2</w:t>
      </w:r>
      <w:r>
        <w:fldChar w:fldCharType="end"/>
      </w:r>
      <w:r>
        <w:fldChar w:fldCharType="end"/>
      </w:r>
    </w:p>
    <w:p>
      <w:pPr>
        <w:pStyle w:val="12"/>
        <w:tabs>
          <w:tab w:val="right" w:leader="dot" w:pos="8296"/>
        </w:tabs>
        <w:ind w:firstLine="560"/>
        <w:rPr>
          <w:rFonts w:ascii="Calibri" w:hAnsi="Calibri" w:eastAsia="宋体"/>
          <w:bCs w:val="0"/>
          <w:kern w:val="2"/>
          <w:sz w:val="21"/>
          <w:szCs w:val="22"/>
        </w:rPr>
      </w:pPr>
      <w:r>
        <w:fldChar w:fldCharType="begin"/>
      </w:r>
      <w:r>
        <w:instrText xml:space="preserve"> HYPERLINK \l "_Toc460247825" </w:instrText>
      </w:r>
      <w:r>
        <w:fldChar w:fldCharType="separate"/>
      </w:r>
      <w:r>
        <w:rPr>
          <w:rStyle w:val="22"/>
          <w:rFonts w:hint="eastAsia"/>
        </w:rPr>
        <w:t>第一部分</w:t>
      </w:r>
      <w:r>
        <w:rPr>
          <w:rStyle w:val="22"/>
        </w:rPr>
        <w:t xml:space="preserve"> </w:t>
      </w:r>
      <w:r>
        <w:rPr>
          <w:rStyle w:val="22"/>
          <w:rFonts w:hint="eastAsia"/>
        </w:rPr>
        <w:t>规划背景</w:t>
      </w:r>
      <w:r>
        <w:tab/>
      </w:r>
      <w:r>
        <w:fldChar w:fldCharType="begin"/>
      </w:r>
      <w:r>
        <w:instrText xml:space="preserve"> PAGEREF _Toc460247825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"_Toc460247826" </w:instrText>
      </w:r>
      <w:r>
        <w:fldChar w:fldCharType="separate"/>
      </w:r>
      <w:r>
        <w:rPr>
          <w:rStyle w:val="22"/>
          <w:rFonts w:hint="eastAsia"/>
        </w:rPr>
        <w:t>一、发展现状</w:t>
      </w:r>
      <w:r>
        <w:tab/>
      </w:r>
      <w:r>
        <w:fldChar w:fldCharType="begin"/>
      </w:r>
      <w:r>
        <w:instrText xml:space="preserve"> PAGEREF _Toc460247826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"_Toc460247827" </w:instrText>
      </w:r>
      <w:r>
        <w:fldChar w:fldCharType="separate"/>
      </w:r>
      <w:r>
        <w:rPr>
          <w:rStyle w:val="22"/>
          <w:rFonts w:hint="eastAsia"/>
        </w:rPr>
        <w:t>（一）基本民生保障水平大幅提升</w:t>
      </w:r>
      <w:r>
        <w:tab/>
      </w:r>
      <w:r>
        <w:fldChar w:fldCharType="begin"/>
      </w:r>
      <w:r>
        <w:instrText xml:space="preserve"> PAGEREF _Toc460247827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"_Toc460247828" </w:instrText>
      </w:r>
      <w:r>
        <w:fldChar w:fldCharType="separate"/>
      </w:r>
      <w:r>
        <w:rPr>
          <w:rStyle w:val="22"/>
          <w:rFonts w:hint="eastAsia"/>
        </w:rPr>
        <w:t>（二）残疾人保障和服务体系日臻完善</w:t>
      </w:r>
      <w:r>
        <w:tab/>
      </w:r>
      <w:r>
        <w:fldChar w:fldCharType="begin"/>
      </w:r>
      <w:r>
        <w:instrText xml:space="preserve"> PAGEREF _Toc460247828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"_Toc460247829" </w:instrText>
      </w:r>
      <w:r>
        <w:fldChar w:fldCharType="separate"/>
      </w:r>
      <w:r>
        <w:rPr>
          <w:rStyle w:val="22"/>
          <w:rFonts w:hint="eastAsia"/>
        </w:rPr>
        <w:t>（三）养老服务体系逐步完善</w:t>
      </w:r>
      <w:r>
        <w:tab/>
      </w:r>
      <w:r>
        <w:fldChar w:fldCharType="begin"/>
      </w:r>
      <w:r>
        <w:instrText xml:space="preserve"> PAGEREF _Toc460247829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"_Toc460247830" </w:instrText>
      </w:r>
      <w:r>
        <w:fldChar w:fldCharType="separate"/>
      </w:r>
      <w:r>
        <w:rPr>
          <w:rStyle w:val="22"/>
          <w:rFonts w:hint="eastAsia"/>
        </w:rPr>
        <w:t>（四）社会治理能力和水平稳步提升</w:t>
      </w:r>
      <w:r>
        <w:tab/>
      </w:r>
      <w:r>
        <w:fldChar w:fldCharType="begin"/>
      </w:r>
      <w:r>
        <w:instrText xml:space="preserve"> PAGEREF _Toc460247830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"_Toc460247831" </w:instrText>
      </w:r>
      <w:r>
        <w:fldChar w:fldCharType="separate"/>
      </w:r>
      <w:r>
        <w:rPr>
          <w:rStyle w:val="22"/>
          <w:rFonts w:hint="eastAsia"/>
        </w:rPr>
        <w:t>（五）服务国防和军队建设坚定有力</w:t>
      </w:r>
      <w:r>
        <w:tab/>
      </w:r>
      <w:r>
        <w:fldChar w:fldCharType="begin"/>
      </w:r>
      <w:r>
        <w:instrText xml:space="preserve"> PAGEREF _Toc460247831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"_Toc460247832" </w:instrText>
      </w:r>
      <w:r>
        <w:fldChar w:fldCharType="separate"/>
      </w:r>
      <w:r>
        <w:rPr>
          <w:rStyle w:val="22"/>
          <w:rFonts w:hint="eastAsia"/>
        </w:rPr>
        <w:t>（六）专项社会事务管理服务高效有序</w:t>
      </w:r>
      <w:r>
        <w:tab/>
      </w:r>
      <w:r>
        <w:fldChar w:fldCharType="begin"/>
      </w:r>
      <w:r>
        <w:instrText xml:space="preserve"> PAGEREF _Toc460247832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"_Toc460247833" </w:instrText>
      </w:r>
      <w:r>
        <w:fldChar w:fldCharType="separate"/>
      </w:r>
      <w:r>
        <w:rPr>
          <w:rStyle w:val="22"/>
          <w:rFonts w:hint="eastAsia"/>
        </w:rPr>
        <w:t>（七）民政队伍建设不断加强</w:t>
      </w:r>
      <w:r>
        <w:tab/>
      </w:r>
      <w:r>
        <w:fldChar w:fldCharType="begin"/>
      </w:r>
      <w:r>
        <w:instrText xml:space="preserve"> PAGEREF _Toc460247833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"_Toc460247834" </w:instrText>
      </w:r>
      <w:r>
        <w:fldChar w:fldCharType="separate"/>
      </w:r>
      <w:r>
        <w:rPr>
          <w:rStyle w:val="22"/>
          <w:rFonts w:hint="eastAsia"/>
        </w:rPr>
        <w:t>二、面临的形势</w:t>
      </w:r>
      <w:r>
        <w:tab/>
      </w:r>
      <w:r>
        <w:fldChar w:fldCharType="begin"/>
      </w:r>
      <w:r>
        <w:instrText xml:space="preserve"> PAGEREF _Toc460247834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"_Toc460247835" </w:instrText>
      </w:r>
      <w:r>
        <w:fldChar w:fldCharType="separate"/>
      </w:r>
      <w:r>
        <w:rPr>
          <w:rStyle w:val="22"/>
          <w:rFonts w:hint="eastAsia"/>
        </w:rPr>
        <w:t>（一）新机遇</w:t>
      </w:r>
      <w:r>
        <w:tab/>
      </w:r>
      <w:r>
        <w:fldChar w:fldCharType="begin"/>
      </w:r>
      <w:r>
        <w:instrText xml:space="preserve"> PAGEREF _Toc460247835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"_Toc460247836" </w:instrText>
      </w:r>
      <w:r>
        <w:fldChar w:fldCharType="separate"/>
      </w:r>
      <w:r>
        <w:rPr>
          <w:rStyle w:val="22"/>
          <w:rFonts w:hint="eastAsia"/>
        </w:rPr>
        <w:t>（二）新挑战</w:t>
      </w:r>
      <w:r>
        <w:tab/>
      </w:r>
      <w:r>
        <w:fldChar w:fldCharType="begin"/>
      </w:r>
      <w:r>
        <w:instrText xml:space="preserve"> PAGEREF _Toc460247836 \h </w:instrText>
      </w:r>
      <w:r>
        <w:fldChar w:fldCharType="separate"/>
      </w:r>
      <w:r>
        <w:t>2</w:t>
      </w:r>
      <w:r>
        <w:fldChar w:fldCharType="end"/>
      </w:r>
      <w:r>
        <w:fldChar w:fldCharType="end"/>
      </w:r>
    </w:p>
    <w:p>
      <w:pPr>
        <w:pStyle w:val="12"/>
        <w:tabs>
          <w:tab w:val="right" w:leader="dot" w:pos="8296"/>
        </w:tabs>
        <w:ind w:firstLine="560"/>
        <w:rPr>
          <w:rFonts w:ascii="Calibri" w:hAnsi="Calibri" w:eastAsia="宋体"/>
          <w:bCs w:val="0"/>
          <w:kern w:val="2"/>
          <w:sz w:val="21"/>
          <w:szCs w:val="22"/>
        </w:rPr>
      </w:pPr>
      <w:r>
        <w:fldChar w:fldCharType="begin"/>
      </w:r>
      <w:r>
        <w:instrText xml:space="preserve"> HYPERLINK \l "_Toc460247837" </w:instrText>
      </w:r>
      <w:r>
        <w:fldChar w:fldCharType="separate"/>
      </w:r>
      <w:r>
        <w:rPr>
          <w:rStyle w:val="22"/>
          <w:rFonts w:hint="eastAsia"/>
        </w:rPr>
        <w:t>第二部分</w:t>
      </w:r>
      <w:r>
        <w:rPr>
          <w:rStyle w:val="22"/>
        </w:rPr>
        <w:t xml:space="preserve"> </w:t>
      </w:r>
      <w:r>
        <w:rPr>
          <w:rStyle w:val="22"/>
          <w:rFonts w:hint="eastAsia"/>
        </w:rPr>
        <w:t>指导思想、基本原则和发展目标</w:t>
      </w:r>
      <w:r>
        <w:tab/>
      </w:r>
      <w:r>
        <w:fldChar w:fldCharType="begin"/>
      </w:r>
      <w:r>
        <w:instrText xml:space="preserve"> PAGEREF _Toc460247837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"_Toc460247838" </w:instrText>
      </w:r>
      <w:r>
        <w:fldChar w:fldCharType="separate"/>
      </w:r>
      <w:r>
        <w:rPr>
          <w:rStyle w:val="22"/>
          <w:rFonts w:hint="eastAsia"/>
        </w:rPr>
        <w:t>一、指导思想</w:t>
      </w:r>
      <w:r>
        <w:tab/>
      </w:r>
      <w:r>
        <w:fldChar w:fldCharType="begin"/>
      </w:r>
      <w:r>
        <w:instrText xml:space="preserve"> PAGEREF _Toc460247838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"_Toc460247839" </w:instrText>
      </w:r>
      <w:r>
        <w:fldChar w:fldCharType="separate"/>
      </w:r>
      <w:r>
        <w:rPr>
          <w:rStyle w:val="22"/>
          <w:rFonts w:hint="eastAsia"/>
        </w:rPr>
        <w:t>二、基本原则</w:t>
      </w:r>
      <w:r>
        <w:tab/>
      </w:r>
      <w:r>
        <w:fldChar w:fldCharType="begin"/>
      </w:r>
      <w:r>
        <w:instrText xml:space="preserve"> PAGEREF _Toc460247839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"_Toc460247840" </w:instrText>
      </w:r>
      <w:r>
        <w:fldChar w:fldCharType="separate"/>
      </w:r>
      <w:r>
        <w:rPr>
          <w:rStyle w:val="22"/>
          <w:rFonts w:hint="eastAsia"/>
        </w:rPr>
        <w:t>（一）坚持改革引领、创新驱动</w:t>
      </w:r>
      <w:r>
        <w:tab/>
      </w:r>
      <w:r>
        <w:fldChar w:fldCharType="begin"/>
      </w:r>
      <w:r>
        <w:instrText xml:space="preserve"> PAGEREF _Toc460247840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"_Toc460247841" </w:instrText>
      </w:r>
      <w:r>
        <w:fldChar w:fldCharType="separate"/>
      </w:r>
      <w:r>
        <w:rPr>
          <w:rStyle w:val="22"/>
          <w:rFonts w:hint="eastAsia"/>
        </w:rPr>
        <w:t>（二）坚持保障基本、适度普惠</w:t>
      </w:r>
      <w:r>
        <w:tab/>
      </w:r>
      <w:r>
        <w:fldChar w:fldCharType="begin"/>
      </w:r>
      <w:r>
        <w:instrText xml:space="preserve"> PAGEREF _Toc460247841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"_Toc460247842" </w:instrText>
      </w:r>
      <w:r>
        <w:fldChar w:fldCharType="separate"/>
      </w:r>
      <w:r>
        <w:rPr>
          <w:rStyle w:val="22"/>
          <w:rFonts w:hint="eastAsia"/>
        </w:rPr>
        <w:t>（三）坚持政府主导，多方参与</w:t>
      </w:r>
      <w:r>
        <w:tab/>
      </w:r>
      <w:r>
        <w:fldChar w:fldCharType="begin"/>
      </w:r>
      <w:r>
        <w:instrText xml:space="preserve"> PAGEREF _Toc460247842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"_Toc460247843" </w:instrText>
      </w:r>
      <w:r>
        <w:fldChar w:fldCharType="separate"/>
      </w:r>
      <w:r>
        <w:rPr>
          <w:rStyle w:val="22"/>
          <w:rFonts w:hint="eastAsia"/>
        </w:rPr>
        <w:t>（四）坚持城乡协调、区域协同</w:t>
      </w:r>
      <w:r>
        <w:tab/>
      </w:r>
      <w:r>
        <w:fldChar w:fldCharType="begin"/>
      </w:r>
      <w:r>
        <w:instrText xml:space="preserve"> PAGEREF _Toc460247843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"_Toc460247844" </w:instrText>
      </w:r>
      <w:r>
        <w:fldChar w:fldCharType="separate"/>
      </w:r>
      <w:r>
        <w:rPr>
          <w:rStyle w:val="22"/>
          <w:rFonts w:hint="eastAsia"/>
        </w:rPr>
        <w:t>（五）坚持依法行政、道德支撑</w:t>
      </w:r>
      <w:r>
        <w:tab/>
      </w:r>
      <w:r>
        <w:fldChar w:fldCharType="begin"/>
      </w:r>
      <w:r>
        <w:instrText xml:space="preserve"> PAGEREF _Toc460247844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"_Toc460247845" </w:instrText>
      </w:r>
      <w:r>
        <w:fldChar w:fldCharType="separate"/>
      </w:r>
      <w:r>
        <w:rPr>
          <w:rStyle w:val="22"/>
          <w:rFonts w:hint="eastAsia"/>
        </w:rPr>
        <w:t>三、发展目标</w:t>
      </w:r>
      <w:r>
        <w:tab/>
      </w:r>
      <w:r>
        <w:fldChar w:fldCharType="begin"/>
      </w:r>
      <w:r>
        <w:instrText xml:space="preserve"> PAGEREF _Toc460247845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"_Toc460247846" </w:instrText>
      </w:r>
      <w:r>
        <w:fldChar w:fldCharType="separate"/>
      </w:r>
      <w:r>
        <w:rPr>
          <w:rStyle w:val="22"/>
          <w:rFonts w:hint="eastAsia"/>
        </w:rPr>
        <w:t>（一）形成高效顺畅的民政体制机制</w:t>
      </w:r>
      <w:r>
        <w:tab/>
      </w:r>
      <w:r>
        <w:fldChar w:fldCharType="begin"/>
      </w:r>
      <w:r>
        <w:instrText xml:space="preserve"> PAGEREF _Toc460247846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"_Toc460247847" </w:instrText>
      </w:r>
      <w:r>
        <w:fldChar w:fldCharType="separate"/>
      </w:r>
      <w:r>
        <w:rPr>
          <w:rStyle w:val="22"/>
          <w:rFonts w:hint="eastAsia"/>
        </w:rPr>
        <w:t>（二）构建普惠均等的民生保障格局</w:t>
      </w:r>
      <w:r>
        <w:tab/>
      </w:r>
      <w:r>
        <w:fldChar w:fldCharType="begin"/>
      </w:r>
      <w:r>
        <w:instrText xml:space="preserve"> PAGEREF _Toc460247847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"_Toc460247848" </w:instrText>
      </w:r>
      <w:r>
        <w:fldChar w:fldCharType="separate"/>
      </w:r>
      <w:r>
        <w:rPr>
          <w:rStyle w:val="22"/>
          <w:rFonts w:hint="eastAsia"/>
        </w:rPr>
        <w:t>（三）实现民政社会治理的现代化</w:t>
      </w:r>
      <w:r>
        <w:tab/>
      </w:r>
      <w:r>
        <w:fldChar w:fldCharType="begin"/>
      </w:r>
      <w:r>
        <w:instrText xml:space="preserve"> PAGEREF _Toc460247848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"_Toc460247849" </w:instrText>
      </w:r>
      <w:r>
        <w:fldChar w:fldCharType="separate"/>
      </w:r>
      <w:r>
        <w:rPr>
          <w:rStyle w:val="22"/>
          <w:rFonts w:hint="eastAsia"/>
        </w:rPr>
        <w:t>（四）建成新区特色的法治民政</w:t>
      </w:r>
      <w:r>
        <w:tab/>
      </w:r>
      <w:r>
        <w:fldChar w:fldCharType="begin"/>
      </w:r>
      <w:r>
        <w:instrText xml:space="preserve"> PAGEREF _Toc460247849 \h </w:instrText>
      </w:r>
      <w:r>
        <w:fldChar w:fldCharType="separate"/>
      </w:r>
      <w:r>
        <w:t>2</w:t>
      </w:r>
      <w:r>
        <w:fldChar w:fldCharType="end"/>
      </w:r>
      <w:r>
        <w:fldChar w:fldCharType="end"/>
      </w:r>
    </w:p>
    <w:p>
      <w:pPr>
        <w:pStyle w:val="12"/>
        <w:tabs>
          <w:tab w:val="right" w:leader="dot" w:pos="8296"/>
        </w:tabs>
        <w:ind w:firstLine="560"/>
        <w:rPr>
          <w:rFonts w:ascii="Calibri" w:hAnsi="Calibri" w:eastAsia="宋体"/>
          <w:bCs w:val="0"/>
          <w:kern w:val="2"/>
          <w:sz w:val="21"/>
          <w:szCs w:val="22"/>
        </w:rPr>
      </w:pPr>
      <w:r>
        <w:fldChar w:fldCharType="begin"/>
      </w:r>
      <w:r>
        <w:instrText xml:space="preserve"> HYPERLINK \l "_Toc460247850" </w:instrText>
      </w:r>
      <w:r>
        <w:fldChar w:fldCharType="separate"/>
      </w:r>
      <w:r>
        <w:rPr>
          <w:rStyle w:val="22"/>
          <w:rFonts w:hint="eastAsia"/>
        </w:rPr>
        <w:t>第三部分</w:t>
      </w:r>
      <w:r>
        <w:rPr>
          <w:rStyle w:val="22"/>
        </w:rPr>
        <w:t xml:space="preserve"> </w:t>
      </w:r>
      <w:r>
        <w:rPr>
          <w:rStyle w:val="22"/>
          <w:rFonts w:hint="eastAsia"/>
        </w:rPr>
        <w:t>主要任务</w:t>
      </w:r>
      <w:r>
        <w:tab/>
      </w:r>
      <w:r>
        <w:fldChar w:fldCharType="begin"/>
      </w:r>
      <w:r>
        <w:instrText xml:space="preserve"> PAGEREF _Toc460247850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"_Toc460247851" </w:instrText>
      </w:r>
      <w:r>
        <w:fldChar w:fldCharType="separate"/>
      </w:r>
      <w:r>
        <w:rPr>
          <w:rStyle w:val="22"/>
          <w:rFonts w:hint="eastAsia"/>
        </w:rPr>
        <w:t>一、完善基本民生保障体系</w:t>
      </w:r>
      <w:r>
        <w:tab/>
      </w:r>
      <w:r>
        <w:fldChar w:fldCharType="begin"/>
      </w:r>
      <w:r>
        <w:instrText xml:space="preserve"> PAGEREF _Toc460247851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"_Toc460247852" </w:instrText>
      </w:r>
      <w:r>
        <w:fldChar w:fldCharType="separate"/>
      </w:r>
      <w:r>
        <w:rPr>
          <w:rStyle w:val="22"/>
          <w:rFonts w:hint="eastAsia"/>
        </w:rPr>
        <w:t>（一）完善困难群众救助体系</w:t>
      </w:r>
      <w:r>
        <w:tab/>
      </w:r>
      <w:r>
        <w:fldChar w:fldCharType="begin"/>
      </w:r>
      <w:r>
        <w:instrText xml:space="preserve"> PAGEREF _Toc460247852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"_Toc460247853" </w:instrText>
      </w:r>
      <w:r>
        <w:fldChar w:fldCharType="separate"/>
      </w:r>
      <w:r>
        <w:rPr>
          <w:rStyle w:val="22"/>
          <w:rFonts w:hint="eastAsia"/>
        </w:rPr>
        <w:t>（二）完善儿童福利保障体系</w:t>
      </w:r>
      <w:r>
        <w:tab/>
      </w:r>
      <w:r>
        <w:fldChar w:fldCharType="begin"/>
      </w:r>
      <w:r>
        <w:instrText xml:space="preserve"> PAGEREF _Toc460247853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"_Toc460247854" </w:instrText>
      </w:r>
      <w:r>
        <w:fldChar w:fldCharType="separate"/>
      </w:r>
      <w:r>
        <w:rPr>
          <w:rStyle w:val="22"/>
          <w:rFonts w:hint="eastAsia"/>
        </w:rPr>
        <w:t>（三）完善优抚安置对象服务保障体系</w:t>
      </w:r>
      <w:r>
        <w:tab/>
      </w:r>
      <w:r>
        <w:fldChar w:fldCharType="begin"/>
      </w:r>
      <w:r>
        <w:instrText xml:space="preserve"> PAGEREF _Toc460247854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"_Toc460247855" </w:instrText>
      </w:r>
      <w:r>
        <w:fldChar w:fldCharType="separate"/>
      </w:r>
      <w:r>
        <w:rPr>
          <w:rStyle w:val="22"/>
          <w:rFonts w:hint="eastAsia"/>
        </w:rPr>
        <w:t>二、加快残疾人小康进程</w:t>
      </w:r>
      <w:r>
        <w:tab/>
      </w:r>
      <w:r>
        <w:fldChar w:fldCharType="begin"/>
      </w:r>
      <w:r>
        <w:instrText xml:space="preserve"> PAGEREF _Toc460247855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"_Toc460247856" </w:instrText>
      </w:r>
      <w:r>
        <w:fldChar w:fldCharType="separate"/>
      </w:r>
      <w:r>
        <w:rPr>
          <w:rStyle w:val="22"/>
          <w:rFonts w:hint="eastAsia"/>
        </w:rPr>
        <w:t>（一）持续加强残疾人民生保障</w:t>
      </w:r>
      <w:r>
        <w:tab/>
      </w:r>
      <w:r>
        <w:fldChar w:fldCharType="begin"/>
      </w:r>
      <w:r>
        <w:instrText xml:space="preserve"> PAGEREF _Toc460247856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"_Toc460247857" </w:instrText>
      </w:r>
      <w:r>
        <w:fldChar w:fldCharType="separate"/>
      </w:r>
      <w:r>
        <w:rPr>
          <w:rStyle w:val="22"/>
          <w:rFonts w:hint="eastAsia"/>
        </w:rPr>
        <w:t>（二）大幅提升残疾人基本公共服务水平</w:t>
      </w:r>
      <w:r>
        <w:tab/>
      </w:r>
      <w:r>
        <w:fldChar w:fldCharType="begin"/>
      </w:r>
      <w:r>
        <w:instrText xml:space="preserve"> PAGEREF _Toc460247857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"_Toc460247858" </w:instrText>
      </w:r>
      <w:r>
        <w:fldChar w:fldCharType="separate"/>
      </w:r>
      <w:r>
        <w:rPr>
          <w:rStyle w:val="22"/>
          <w:rFonts w:hint="eastAsia"/>
        </w:rPr>
        <w:t>（三）推进残疾人工作体制机制现代化</w:t>
      </w:r>
      <w:r>
        <w:tab/>
      </w:r>
      <w:r>
        <w:fldChar w:fldCharType="begin"/>
      </w:r>
      <w:r>
        <w:instrText xml:space="preserve"> PAGEREF _Toc460247858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"_Toc460247859" </w:instrText>
      </w:r>
      <w:r>
        <w:fldChar w:fldCharType="separate"/>
      </w:r>
      <w:r>
        <w:rPr>
          <w:rStyle w:val="22"/>
          <w:rFonts w:hint="eastAsia"/>
        </w:rPr>
        <w:t>（四）依法保障残疾人平等权益</w:t>
      </w:r>
      <w:r>
        <w:tab/>
      </w:r>
      <w:r>
        <w:fldChar w:fldCharType="begin"/>
      </w:r>
      <w:r>
        <w:instrText xml:space="preserve"> PAGEREF _Toc460247859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"_Toc460247860" </w:instrText>
      </w:r>
      <w:r>
        <w:fldChar w:fldCharType="separate"/>
      </w:r>
      <w:r>
        <w:rPr>
          <w:rStyle w:val="22"/>
          <w:rFonts w:hint="eastAsia"/>
        </w:rPr>
        <w:t>（五）着力构建残疾人平等融合社会环境</w:t>
      </w:r>
      <w:r>
        <w:tab/>
      </w:r>
      <w:r>
        <w:fldChar w:fldCharType="begin"/>
      </w:r>
      <w:r>
        <w:instrText xml:space="preserve"> PAGEREF _Toc460247860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"_Toc460247861" </w:instrText>
      </w:r>
      <w:r>
        <w:fldChar w:fldCharType="separate"/>
      </w:r>
      <w:r>
        <w:rPr>
          <w:rStyle w:val="22"/>
          <w:rFonts w:hint="eastAsia"/>
        </w:rPr>
        <w:t>三、构建新区特色养老服务模式</w:t>
      </w:r>
      <w:r>
        <w:tab/>
      </w:r>
      <w:r>
        <w:fldChar w:fldCharType="begin"/>
      </w:r>
      <w:r>
        <w:instrText xml:space="preserve"> PAGEREF _Toc460247861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"_Toc460247862" </w:instrText>
      </w:r>
      <w:r>
        <w:fldChar w:fldCharType="separate"/>
      </w:r>
      <w:r>
        <w:rPr>
          <w:rStyle w:val="22"/>
          <w:rFonts w:hint="eastAsia"/>
        </w:rPr>
        <w:t>（一）完善养老服务体系</w:t>
      </w:r>
      <w:r>
        <w:tab/>
      </w:r>
      <w:r>
        <w:fldChar w:fldCharType="begin"/>
      </w:r>
      <w:r>
        <w:instrText xml:space="preserve"> PAGEREF _Toc460247862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"_Toc460247863" </w:instrText>
      </w:r>
      <w:r>
        <w:fldChar w:fldCharType="separate"/>
      </w:r>
      <w:r>
        <w:rPr>
          <w:rStyle w:val="22"/>
          <w:rFonts w:hint="eastAsia"/>
        </w:rPr>
        <w:t>（二）实施幸福养老工程</w:t>
      </w:r>
      <w:r>
        <w:tab/>
      </w:r>
      <w:r>
        <w:fldChar w:fldCharType="begin"/>
      </w:r>
      <w:r>
        <w:instrText xml:space="preserve"> PAGEREF _Toc460247863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"_Toc460247864" </w:instrText>
      </w:r>
      <w:r>
        <w:fldChar w:fldCharType="separate"/>
      </w:r>
      <w:r>
        <w:rPr>
          <w:rStyle w:val="22"/>
          <w:rFonts w:hint="eastAsia"/>
        </w:rPr>
        <w:t>（三）实现重点领域突破</w:t>
      </w:r>
      <w:r>
        <w:tab/>
      </w:r>
      <w:r>
        <w:fldChar w:fldCharType="begin"/>
      </w:r>
      <w:r>
        <w:instrText xml:space="preserve"> PAGEREF _Toc460247864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"_Toc460247865" </w:instrText>
      </w:r>
      <w:r>
        <w:fldChar w:fldCharType="separate"/>
      </w:r>
      <w:r>
        <w:rPr>
          <w:rStyle w:val="22"/>
          <w:rFonts w:hint="eastAsia"/>
        </w:rPr>
        <w:t>四、加强和创新社会治理</w:t>
      </w:r>
      <w:r>
        <w:tab/>
      </w:r>
      <w:r>
        <w:fldChar w:fldCharType="begin"/>
      </w:r>
      <w:r>
        <w:instrText xml:space="preserve"> PAGEREF _Toc460247865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"_Toc460247866" </w:instrText>
      </w:r>
      <w:r>
        <w:fldChar w:fldCharType="separate"/>
      </w:r>
      <w:r>
        <w:rPr>
          <w:rStyle w:val="22"/>
          <w:rFonts w:hint="eastAsia"/>
        </w:rPr>
        <w:t>（一）深化社会组织管理体制改革</w:t>
      </w:r>
      <w:r>
        <w:tab/>
      </w:r>
      <w:r>
        <w:fldChar w:fldCharType="begin"/>
      </w:r>
      <w:r>
        <w:instrText xml:space="preserve"> PAGEREF _Toc460247866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"_Toc460247867" </w:instrText>
      </w:r>
      <w:r>
        <w:fldChar w:fldCharType="separate"/>
      </w:r>
      <w:r>
        <w:rPr>
          <w:rStyle w:val="22"/>
          <w:rFonts w:hint="eastAsia"/>
        </w:rPr>
        <w:t>（二）完善基层社会治理</w:t>
      </w:r>
      <w:r>
        <w:tab/>
      </w:r>
      <w:r>
        <w:fldChar w:fldCharType="begin"/>
      </w:r>
      <w:r>
        <w:instrText xml:space="preserve"> PAGEREF _Toc460247867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"_Toc460247868" </w:instrText>
      </w:r>
      <w:r>
        <w:fldChar w:fldCharType="separate"/>
      </w:r>
      <w:r>
        <w:rPr>
          <w:rStyle w:val="22"/>
          <w:rFonts w:hint="eastAsia"/>
        </w:rPr>
        <w:t>（三）加快社工人才队伍和志愿者队伍建设</w:t>
      </w:r>
      <w:r>
        <w:tab/>
      </w:r>
      <w:r>
        <w:fldChar w:fldCharType="begin"/>
      </w:r>
      <w:r>
        <w:instrText xml:space="preserve"> PAGEREF _Toc460247868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"_Toc460247869" </w:instrText>
      </w:r>
      <w:r>
        <w:fldChar w:fldCharType="separate"/>
      </w:r>
      <w:r>
        <w:rPr>
          <w:rStyle w:val="22"/>
          <w:rFonts w:hint="eastAsia"/>
        </w:rPr>
        <w:t>（四）深入推进“三社联动”</w:t>
      </w:r>
      <w:r>
        <w:tab/>
      </w:r>
      <w:r>
        <w:fldChar w:fldCharType="begin"/>
      </w:r>
      <w:r>
        <w:instrText xml:space="preserve"> PAGEREF _Toc460247869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"_Toc460247870" </w:instrText>
      </w:r>
      <w:r>
        <w:fldChar w:fldCharType="separate"/>
      </w:r>
      <w:r>
        <w:rPr>
          <w:rStyle w:val="22"/>
          <w:rFonts w:hint="eastAsia"/>
        </w:rPr>
        <w:t>五、推进社会服务产业发展</w:t>
      </w:r>
      <w:r>
        <w:tab/>
      </w:r>
      <w:r>
        <w:fldChar w:fldCharType="begin"/>
      </w:r>
      <w:r>
        <w:instrText xml:space="preserve"> PAGEREF _Toc460247870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"_Toc460247871" </w:instrText>
      </w:r>
      <w:r>
        <w:fldChar w:fldCharType="separate"/>
      </w:r>
      <w:r>
        <w:rPr>
          <w:rStyle w:val="22"/>
          <w:rFonts w:hint="eastAsia"/>
        </w:rPr>
        <w:t>（一）全面推进民政服务产业提质增效</w:t>
      </w:r>
      <w:r>
        <w:tab/>
      </w:r>
      <w:r>
        <w:fldChar w:fldCharType="begin"/>
      </w:r>
      <w:r>
        <w:instrText xml:space="preserve"> PAGEREF _Toc460247871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"_Toc460247872" </w:instrText>
      </w:r>
      <w:r>
        <w:fldChar w:fldCharType="separate"/>
      </w:r>
      <w:r>
        <w:rPr>
          <w:rStyle w:val="22"/>
          <w:rFonts w:hint="eastAsia"/>
        </w:rPr>
        <w:t>（二）加快养老服务业发展</w:t>
      </w:r>
      <w:r>
        <w:tab/>
      </w:r>
      <w:r>
        <w:fldChar w:fldCharType="begin"/>
      </w:r>
      <w:r>
        <w:instrText xml:space="preserve"> PAGEREF _Toc460247872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"_Toc460247873" </w:instrText>
      </w:r>
      <w:r>
        <w:fldChar w:fldCharType="separate"/>
      </w:r>
      <w:r>
        <w:rPr>
          <w:rStyle w:val="22"/>
          <w:rFonts w:hint="eastAsia"/>
        </w:rPr>
        <w:t>（三）做大社区服务产业</w:t>
      </w:r>
      <w:r>
        <w:tab/>
      </w:r>
      <w:r>
        <w:fldChar w:fldCharType="begin"/>
      </w:r>
      <w:r>
        <w:instrText xml:space="preserve"> PAGEREF _Toc460247873 \h </w:instrText>
      </w:r>
      <w:r>
        <w:fldChar w:fldCharType="separate"/>
      </w:r>
      <w:r>
        <w:t>2</w:t>
      </w:r>
      <w:r>
        <w:fldChar w:fldCharType="end"/>
      </w:r>
      <w:r>
        <w:fldChar w:fldCharType="end"/>
      </w:r>
    </w:p>
    <w:p>
      <w:pPr>
        <w:pStyle w:val="7"/>
        <w:tabs>
          <w:tab w:val="right" w:leader="dot" w:pos="8296"/>
        </w:tabs>
        <w:ind w:firstLine="560"/>
        <w:rPr>
          <w:rFonts w:ascii="Calibri" w:hAnsi="Calibri" w:eastAsia="宋体"/>
          <w:sz w:val="21"/>
        </w:rPr>
      </w:pPr>
      <w:r>
        <w:fldChar w:fldCharType="begin"/>
      </w:r>
      <w:r>
        <w:instrText xml:space="preserve"> HYPERLINK \l "_Toc460247874" </w:instrText>
      </w:r>
      <w:r>
        <w:fldChar w:fldCharType="separate"/>
      </w:r>
      <w:r>
        <w:rPr>
          <w:rStyle w:val="22"/>
          <w:rFonts w:hint="eastAsia"/>
        </w:rPr>
        <w:t>（四）深化婚姻和殡葬行业改革</w:t>
      </w:r>
      <w:r>
        <w:tab/>
      </w:r>
      <w:r>
        <w:fldChar w:fldCharType="begin"/>
      </w:r>
      <w:r>
        <w:instrText xml:space="preserve"> PAGEREF _Toc460247874 \h </w:instrText>
      </w:r>
      <w:r>
        <w:fldChar w:fldCharType="separate"/>
      </w:r>
      <w:r>
        <w:t>2</w:t>
      </w:r>
      <w:r>
        <w:fldChar w:fldCharType="end"/>
      </w:r>
      <w:r>
        <w:fldChar w:fldCharType="end"/>
      </w:r>
    </w:p>
    <w:p>
      <w:pPr>
        <w:pStyle w:val="12"/>
        <w:tabs>
          <w:tab w:val="right" w:leader="dot" w:pos="8296"/>
        </w:tabs>
        <w:ind w:firstLine="560"/>
        <w:rPr>
          <w:rFonts w:ascii="Calibri" w:hAnsi="Calibri" w:eastAsia="宋体"/>
          <w:bCs w:val="0"/>
          <w:kern w:val="2"/>
          <w:sz w:val="21"/>
          <w:szCs w:val="22"/>
        </w:rPr>
      </w:pPr>
      <w:r>
        <w:fldChar w:fldCharType="begin"/>
      </w:r>
      <w:r>
        <w:instrText xml:space="preserve"> HYPERLINK \l "_Toc460247875" </w:instrText>
      </w:r>
      <w:r>
        <w:fldChar w:fldCharType="separate"/>
      </w:r>
      <w:r>
        <w:rPr>
          <w:rStyle w:val="22"/>
          <w:rFonts w:hint="eastAsia"/>
        </w:rPr>
        <w:t>第四部分</w:t>
      </w:r>
      <w:r>
        <w:rPr>
          <w:rStyle w:val="22"/>
        </w:rPr>
        <w:t xml:space="preserve"> </w:t>
      </w:r>
      <w:r>
        <w:rPr>
          <w:rStyle w:val="22"/>
          <w:rFonts w:hint="eastAsia"/>
        </w:rPr>
        <w:t>基础设施建设工程</w:t>
      </w:r>
      <w:r>
        <w:tab/>
      </w:r>
      <w:r>
        <w:fldChar w:fldCharType="begin"/>
      </w:r>
      <w:r>
        <w:instrText xml:space="preserve"> PAGEREF _Toc460247875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"_Toc460247876" </w:instrText>
      </w:r>
      <w:r>
        <w:fldChar w:fldCharType="separate"/>
      </w:r>
      <w:r>
        <w:rPr>
          <w:rStyle w:val="22"/>
          <w:rFonts w:hint="eastAsia"/>
        </w:rPr>
        <w:t>一、养老服务设施</w:t>
      </w:r>
      <w:r>
        <w:tab/>
      </w:r>
      <w:r>
        <w:fldChar w:fldCharType="begin"/>
      </w:r>
      <w:r>
        <w:instrText xml:space="preserve"> PAGEREF _Toc460247876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"_Toc460247877" </w:instrText>
      </w:r>
      <w:r>
        <w:fldChar w:fldCharType="separate"/>
      </w:r>
      <w:r>
        <w:rPr>
          <w:rStyle w:val="22"/>
          <w:rFonts w:hint="eastAsia"/>
        </w:rPr>
        <w:t>二、儿童福利设施</w:t>
      </w:r>
      <w:r>
        <w:tab/>
      </w:r>
      <w:r>
        <w:fldChar w:fldCharType="begin"/>
      </w:r>
      <w:r>
        <w:instrText xml:space="preserve"> PAGEREF _Toc460247877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"_Toc460247878" </w:instrText>
      </w:r>
      <w:r>
        <w:fldChar w:fldCharType="separate"/>
      </w:r>
      <w:r>
        <w:rPr>
          <w:rStyle w:val="22"/>
          <w:rFonts w:hint="eastAsia"/>
        </w:rPr>
        <w:t>三、残疾人服务设施</w:t>
      </w:r>
      <w:r>
        <w:tab/>
      </w:r>
      <w:r>
        <w:fldChar w:fldCharType="begin"/>
      </w:r>
      <w:r>
        <w:instrText xml:space="preserve"> PAGEREF _Toc460247878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"_Toc460247879" </w:instrText>
      </w:r>
      <w:r>
        <w:fldChar w:fldCharType="separate"/>
      </w:r>
      <w:r>
        <w:rPr>
          <w:rStyle w:val="22"/>
          <w:rFonts w:hint="eastAsia"/>
        </w:rPr>
        <w:t>四、社会组织培育孵化设施</w:t>
      </w:r>
      <w:r>
        <w:tab/>
      </w:r>
      <w:r>
        <w:fldChar w:fldCharType="begin"/>
      </w:r>
      <w:r>
        <w:instrText xml:space="preserve"> PAGEREF _Toc460247879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"_Toc460247880" </w:instrText>
      </w:r>
      <w:r>
        <w:fldChar w:fldCharType="separate"/>
      </w:r>
      <w:r>
        <w:rPr>
          <w:rStyle w:val="22"/>
          <w:rFonts w:hint="eastAsia"/>
        </w:rPr>
        <w:t>五、社区服务设施</w:t>
      </w:r>
      <w:r>
        <w:tab/>
      </w:r>
      <w:r>
        <w:fldChar w:fldCharType="begin"/>
      </w:r>
      <w:r>
        <w:instrText xml:space="preserve"> PAGEREF _Toc460247880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"_Toc460247881" </w:instrText>
      </w:r>
      <w:r>
        <w:fldChar w:fldCharType="separate"/>
      </w:r>
      <w:r>
        <w:rPr>
          <w:rStyle w:val="22"/>
          <w:rFonts w:hint="eastAsia"/>
        </w:rPr>
        <w:t>六、救助服务设施</w:t>
      </w:r>
      <w:r>
        <w:tab/>
      </w:r>
      <w:r>
        <w:fldChar w:fldCharType="begin"/>
      </w:r>
      <w:r>
        <w:instrText xml:space="preserve"> PAGEREF _Toc460247881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"_Toc460247882" </w:instrText>
      </w:r>
      <w:r>
        <w:fldChar w:fldCharType="separate"/>
      </w:r>
      <w:r>
        <w:rPr>
          <w:rStyle w:val="22"/>
          <w:rFonts w:hint="eastAsia"/>
        </w:rPr>
        <w:t>七、救灾服务设施</w:t>
      </w:r>
      <w:r>
        <w:tab/>
      </w:r>
      <w:r>
        <w:fldChar w:fldCharType="begin"/>
      </w:r>
      <w:r>
        <w:instrText xml:space="preserve"> PAGEREF _Toc460247882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"_Toc460247883" </w:instrText>
      </w:r>
      <w:r>
        <w:fldChar w:fldCharType="separate"/>
      </w:r>
      <w:r>
        <w:rPr>
          <w:rStyle w:val="22"/>
          <w:rFonts w:hint="eastAsia"/>
        </w:rPr>
        <w:t>八、慈善捐赠设施</w:t>
      </w:r>
      <w:r>
        <w:tab/>
      </w:r>
      <w:r>
        <w:fldChar w:fldCharType="begin"/>
      </w:r>
      <w:r>
        <w:instrText xml:space="preserve"> PAGEREF _Toc460247883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"_Toc460247884" </w:instrText>
      </w:r>
      <w:r>
        <w:fldChar w:fldCharType="separate"/>
      </w:r>
      <w:r>
        <w:rPr>
          <w:rStyle w:val="22"/>
          <w:rFonts w:hint="eastAsia"/>
        </w:rPr>
        <w:t>九、军休优抚服务设施</w:t>
      </w:r>
      <w:r>
        <w:tab/>
      </w:r>
      <w:r>
        <w:fldChar w:fldCharType="begin"/>
      </w:r>
      <w:r>
        <w:instrText xml:space="preserve"> PAGEREF _Toc460247884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"_Toc460247885" </w:instrText>
      </w:r>
      <w:r>
        <w:fldChar w:fldCharType="separate"/>
      </w:r>
      <w:r>
        <w:rPr>
          <w:rStyle w:val="22"/>
          <w:rFonts w:hint="eastAsia"/>
        </w:rPr>
        <w:t>十、殡葬服务设施</w:t>
      </w:r>
      <w:r>
        <w:tab/>
      </w:r>
      <w:r>
        <w:fldChar w:fldCharType="begin"/>
      </w:r>
      <w:r>
        <w:instrText xml:space="preserve"> PAGEREF _Toc460247885 \h </w:instrText>
      </w:r>
      <w:r>
        <w:fldChar w:fldCharType="separate"/>
      </w:r>
      <w:r>
        <w:t>2</w:t>
      </w:r>
      <w:r>
        <w:fldChar w:fldCharType="end"/>
      </w:r>
      <w:r>
        <w:fldChar w:fldCharType="end"/>
      </w:r>
    </w:p>
    <w:p>
      <w:pPr>
        <w:pStyle w:val="12"/>
        <w:tabs>
          <w:tab w:val="right" w:leader="dot" w:pos="8296"/>
        </w:tabs>
        <w:ind w:firstLine="560"/>
        <w:rPr>
          <w:rFonts w:ascii="Calibri" w:hAnsi="Calibri" w:eastAsia="宋体"/>
          <w:bCs w:val="0"/>
          <w:kern w:val="2"/>
          <w:sz w:val="21"/>
          <w:szCs w:val="22"/>
        </w:rPr>
      </w:pPr>
      <w:r>
        <w:fldChar w:fldCharType="begin"/>
      </w:r>
      <w:r>
        <w:instrText xml:space="preserve"> HYPERLINK \l "_Toc460247886" </w:instrText>
      </w:r>
      <w:r>
        <w:fldChar w:fldCharType="separate"/>
      </w:r>
      <w:r>
        <w:rPr>
          <w:rStyle w:val="22"/>
          <w:rFonts w:hint="eastAsia"/>
        </w:rPr>
        <w:t>第五部分</w:t>
      </w:r>
      <w:r>
        <w:rPr>
          <w:rStyle w:val="22"/>
        </w:rPr>
        <w:t xml:space="preserve"> </w:t>
      </w:r>
      <w:r>
        <w:rPr>
          <w:rStyle w:val="22"/>
          <w:rFonts w:hint="eastAsia"/>
        </w:rPr>
        <w:t>保障措施</w:t>
      </w:r>
      <w:r>
        <w:tab/>
      </w:r>
      <w:r>
        <w:fldChar w:fldCharType="begin"/>
      </w:r>
      <w:r>
        <w:instrText xml:space="preserve"> PAGEREF _Toc460247886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"_Toc460247887" </w:instrText>
      </w:r>
      <w:r>
        <w:fldChar w:fldCharType="separate"/>
      </w:r>
      <w:r>
        <w:rPr>
          <w:rStyle w:val="22"/>
          <w:rFonts w:hint="eastAsia"/>
        </w:rPr>
        <w:t>一、加强组织领导</w:t>
      </w:r>
      <w:r>
        <w:tab/>
      </w:r>
      <w:r>
        <w:fldChar w:fldCharType="begin"/>
      </w:r>
      <w:r>
        <w:instrText xml:space="preserve"> PAGEREF _Toc460247887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"_Toc460247888" </w:instrText>
      </w:r>
      <w:r>
        <w:fldChar w:fldCharType="separate"/>
      </w:r>
      <w:r>
        <w:rPr>
          <w:rStyle w:val="22"/>
          <w:rFonts w:hint="eastAsia"/>
        </w:rPr>
        <w:t>二、加大资金投入</w:t>
      </w:r>
      <w:r>
        <w:tab/>
      </w:r>
      <w:r>
        <w:fldChar w:fldCharType="begin"/>
      </w:r>
      <w:r>
        <w:instrText xml:space="preserve"> PAGEREF _Toc460247888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"_Toc460247889" </w:instrText>
      </w:r>
      <w:r>
        <w:fldChar w:fldCharType="separate"/>
      </w:r>
      <w:r>
        <w:rPr>
          <w:rStyle w:val="22"/>
          <w:rFonts w:hint="eastAsia"/>
        </w:rPr>
        <w:t>三、加强人才队伍建设</w:t>
      </w:r>
      <w:r>
        <w:tab/>
      </w:r>
      <w:r>
        <w:fldChar w:fldCharType="begin"/>
      </w:r>
      <w:r>
        <w:instrText xml:space="preserve"> PAGEREF _Toc460247889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"_Toc460247890" </w:instrText>
      </w:r>
      <w:r>
        <w:fldChar w:fldCharType="separate"/>
      </w:r>
      <w:r>
        <w:rPr>
          <w:rStyle w:val="22"/>
          <w:rFonts w:hint="eastAsia"/>
        </w:rPr>
        <w:t>四、加强民政法制建设</w:t>
      </w:r>
      <w:r>
        <w:tab/>
      </w:r>
      <w:r>
        <w:fldChar w:fldCharType="begin"/>
      </w:r>
      <w:r>
        <w:instrText xml:space="preserve"> PAGEREF _Toc460247890 \h </w:instrText>
      </w:r>
      <w:r>
        <w:fldChar w:fldCharType="separate"/>
      </w:r>
      <w:r>
        <w:t>2</w:t>
      </w:r>
      <w:r>
        <w:fldChar w:fldCharType="end"/>
      </w:r>
      <w:r>
        <w:fldChar w:fldCharType="end"/>
      </w:r>
    </w:p>
    <w:p>
      <w:pPr>
        <w:pStyle w:val="15"/>
        <w:tabs>
          <w:tab w:val="right" w:leader="dot" w:pos="8296"/>
        </w:tabs>
        <w:ind w:firstLine="560"/>
        <w:rPr>
          <w:rFonts w:ascii="Calibri" w:hAnsi="Calibri" w:eastAsia="宋体"/>
          <w:sz w:val="21"/>
        </w:rPr>
      </w:pPr>
      <w:r>
        <w:fldChar w:fldCharType="begin"/>
      </w:r>
      <w:r>
        <w:instrText xml:space="preserve"> HYPERLINK \l "_Toc460247891" </w:instrText>
      </w:r>
      <w:r>
        <w:fldChar w:fldCharType="separate"/>
      </w:r>
      <w:r>
        <w:rPr>
          <w:rStyle w:val="22"/>
          <w:rFonts w:hint="eastAsia"/>
        </w:rPr>
        <w:t>五、推进民政信息化建设</w:t>
      </w:r>
      <w:r>
        <w:tab/>
      </w:r>
      <w:r>
        <w:fldChar w:fldCharType="begin"/>
      </w:r>
      <w:r>
        <w:instrText xml:space="preserve"> PAGEREF _Toc460247891 \h </w:instrText>
      </w:r>
      <w:r>
        <w:fldChar w:fldCharType="separate"/>
      </w:r>
      <w:r>
        <w:t>2</w:t>
      </w:r>
      <w:r>
        <w:fldChar w:fldCharType="end"/>
      </w:r>
      <w:r>
        <w:fldChar w:fldCharType="end"/>
      </w:r>
    </w:p>
    <w:p>
      <w:pPr>
        <w:pStyle w:val="15"/>
        <w:tabs>
          <w:tab w:val="right" w:leader="dot" w:pos="8296"/>
        </w:tabs>
        <w:ind w:firstLine="560"/>
        <w:rPr>
          <w:rStyle w:val="22"/>
        </w:rPr>
        <w:sectPr>
          <w:footerReference r:id="rId11" w:type="default"/>
          <w:pgSz w:w="11906" w:h="16838"/>
          <w:pgMar w:top="1440" w:right="1800" w:bottom="1440" w:left="1800" w:header="851" w:footer="992" w:gutter="0"/>
          <w:pgNumType w:start="1"/>
          <w:cols w:space="720" w:num="1"/>
          <w:docGrid w:type="lines" w:linePitch="312" w:charSpace="0"/>
        </w:sectPr>
      </w:pPr>
      <w:r>
        <w:fldChar w:fldCharType="begin"/>
      </w:r>
      <w:r>
        <w:instrText xml:space="preserve"> HYPERLINK \l "_Toc460247892" </w:instrText>
      </w:r>
      <w:r>
        <w:fldChar w:fldCharType="separate"/>
      </w:r>
      <w:r>
        <w:rPr>
          <w:rStyle w:val="22"/>
          <w:rFonts w:hint="eastAsia"/>
        </w:rPr>
        <w:t>六、完善规划实施机制</w:t>
      </w:r>
      <w:r>
        <w:tab/>
      </w:r>
      <w:r>
        <w:fldChar w:fldCharType="begin"/>
      </w:r>
      <w:r>
        <w:instrText xml:space="preserve"> PAGEREF _Toc460247892 \h </w:instrText>
      </w:r>
      <w:r>
        <w:fldChar w:fldCharType="separate"/>
      </w:r>
      <w:r>
        <w:t>2</w:t>
      </w:r>
      <w:r>
        <w:fldChar w:fldCharType="end"/>
      </w:r>
      <w:r>
        <w:fldChar w:fldCharType="end"/>
      </w:r>
    </w:p>
    <w:p>
      <w:pPr>
        <w:pStyle w:val="2"/>
        <w:spacing w:before="200" w:after="200"/>
        <w:ind w:firstLine="0" w:firstLineChars="0"/>
      </w:pPr>
      <w:r>
        <w:rPr>
          <w:bCs w:val="0"/>
        </w:rPr>
        <w:fldChar w:fldCharType="end"/>
      </w:r>
      <w:bookmarkStart w:id="1" w:name="_Toc460247824"/>
      <w:bookmarkStart w:id="2" w:name="_Toc459664915"/>
      <w:bookmarkStart w:id="3" w:name="_Toc459664382"/>
      <w:bookmarkStart w:id="4" w:name="_Toc459664775"/>
      <w:r>
        <w:rPr>
          <w:rFonts w:hint="eastAsia"/>
        </w:rPr>
        <w:t>序</w:t>
      </w:r>
      <w:r>
        <w:t xml:space="preserve">  </w:t>
      </w:r>
      <w:r>
        <w:rPr>
          <w:rFonts w:hint="eastAsia"/>
        </w:rPr>
        <w:t>言</w:t>
      </w:r>
      <w:bookmarkEnd w:id="0"/>
      <w:bookmarkEnd w:id="1"/>
      <w:bookmarkEnd w:id="2"/>
      <w:bookmarkEnd w:id="3"/>
      <w:bookmarkEnd w:id="4"/>
    </w:p>
    <w:p>
      <w:pPr>
        <w:spacing w:line="500" w:lineRule="exact"/>
        <w:ind w:firstLine="480" w:firstLineChars="150"/>
        <w:rPr>
          <w:rFonts w:ascii="仿宋_GB2312" w:hAnsi="华文仿宋"/>
          <w:szCs w:val="32"/>
        </w:rPr>
      </w:pPr>
      <w:r>
        <w:rPr>
          <w:rFonts w:hint="eastAsia" w:ascii="仿宋_GB2312" w:hAnsi="华文仿宋"/>
          <w:szCs w:val="32"/>
        </w:rPr>
        <w:t>“十三五”时期</w:t>
      </w:r>
      <w:r>
        <w:rPr>
          <w:rFonts w:hint="eastAsia" w:ascii="仿宋_GB2312" w:hAnsi="华文仿宋" w:cs="Arial"/>
          <w:szCs w:val="32"/>
        </w:rPr>
        <w:t>是新区融入大格局、转换新动力、实现跨越式发展的关键时期。民政和社会福利事业作为党和政府工作的重要组成部分，在保障基本民生、发展养老服务、加强和创新社会治理、推进社会服务以及</w:t>
      </w:r>
      <w:r>
        <w:rPr>
          <w:rFonts w:hint="eastAsia" w:ascii="仿宋_GB2312" w:hAnsi="华文仿宋"/>
          <w:szCs w:val="32"/>
        </w:rPr>
        <w:t>服务国防和军队建设等方面承担着重要的职能。科学编制和实施《北京市大兴区和北京经济技术开发区“十三五”期间民政和社会福利事业发展规划》，对于抓住新区面临的重大机遇，推进新区“十三五”时期民政和社会福利事业持续快速健康发展具有重要意义。</w:t>
      </w:r>
      <w:r>
        <w:rPr>
          <w:rFonts w:ascii="仿宋_GB2312" w:hAnsi="华文仿宋"/>
          <w:szCs w:val="32"/>
        </w:rPr>
        <w:t xml:space="preserve"> </w:t>
      </w:r>
    </w:p>
    <w:p>
      <w:pPr>
        <w:adjustRightInd w:val="0"/>
        <w:snapToGrid w:val="0"/>
        <w:spacing w:line="500" w:lineRule="exact"/>
        <w:ind w:firstLine="640"/>
        <w:rPr>
          <w:rFonts w:ascii="仿宋_GB2312" w:hAnsi="华文仿宋"/>
          <w:szCs w:val="32"/>
        </w:rPr>
      </w:pPr>
      <w:r>
        <w:rPr>
          <w:rFonts w:hint="eastAsia" w:ascii="仿宋_GB2312" w:hAnsi="华文仿宋"/>
          <w:szCs w:val="32"/>
        </w:rPr>
        <w:t>《北京市大兴区和北京经济技术开发区“十三五”期间民政和社会福利事业发展规划》紧紧围绕首都城市战略定位和新区的“五区定位”以及新区加快建设一体化、高端化、国际化宜居宜业和谐新区的发展目标，明确了新区民政和社会福利事业“十三五”期间的发展目标、主要任务、发展路径和保障措施，是民政系统履行职责、编制年度计划和制定各项措施的重要依据，是“十三五”期间民政工作的行动纲领。</w:t>
      </w:r>
    </w:p>
    <w:p>
      <w:pPr>
        <w:adjustRightInd w:val="0"/>
        <w:snapToGrid w:val="0"/>
        <w:spacing w:line="500" w:lineRule="exact"/>
        <w:ind w:firstLine="640"/>
        <w:rPr>
          <w:rFonts w:ascii="仿宋_GB2312" w:hAnsi="华文仿宋"/>
          <w:szCs w:val="32"/>
        </w:rPr>
      </w:pPr>
      <w:r>
        <w:rPr>
          <w:rFonts w:hint="eastAsia" w:ascii="仿宋_GB2312" w:hAnsi="华文仿宋"/>
          <w:szCs w:val="32"/>
        </w:rPr>
        <w:t>编制依据：民政部《民政事业发展“十三五”规划》、《京津冀协同发展规划纲要》及北京市贯彻意见、《北京市国民经济和社会发展第十三个五年规划纲要》、《北京市“十三五”时期民政事业发展规划》、《北京市</w:t>
      </w:r>
      <w:r>
        <w:rPr>
          <w:rFonts w:ascii="仿宋_GB2312" w:hAnsi="华文仿宋"/>
          <w:szCs w:val="32"/>
        </w:rPr>
        <w:t>2015-2020</w:t>
      </w:r>
      <w:r>
        <w:rPr>
          <w:rFonts w:hint="eastAsia" w:ascii="仿宋_GB2312" w:hAnsi="华文仿宋"/>
          <w:szCs w:val="32"/>
        </w:rPr>
        <w:t>年民政公共服务基础设施建设规划》、《北京市大兴区和北京经济技术开发区国民经济和社会发展第十三个五年规划纲要》、北京市民政工作相关的政策、法律、法规。</w:t>
      </w:r>
    </w:p>
    <w:p>
      <w:pPr>
        <w:adjustRightInd w:val="0"/>
        <w:snapToGrid w:val="0"/>
        <w:spacing w:line="500" w:lineRule="exact"/>
        <w:ind w:firstLine="640"/>
        <w:rPr>
          <w:rFonts w:ascii="仿宋_GB2312" w:hAnsi="华文仿宋"/>
          <w:kern w:val="0"/>
          <w:szCs w:val="32"/>
        </w:rPr>
        <w:sectPr>
          <w:pgSz w:w="11906" w:h="16838"/>
          <w:pgMar w:top="1440" w:right="1800" w:bottom="1440" w:left="1800" w:header="851" w:footer="992" w:gutter="0"/>
          <w:pgNumType w:start="1"/>
          <w:cols w:space="720" w:num="1"/>
          <w:docGrid w:type="lines" w:linePitch="312" w:charSpace="0"/>
        </w:sectPr>
      </w:pPr>
    </w:p>
    <w:p>
      <w:pPr>
        <w:adjustRightInd w:val="0"/>
        <w:snapToGrid w:val="0"/>
        <w:spacing w:line="500" w:lineRule="exact"/>
        <w:ind w:firstLine="640"/>
        <w:rPr>
          <w:rFonts w:ascii="仿宋_GB2312" w:hAnsi="华文仿宋"/>
          <w:kern w:val="0"/>
          <w:szCs w:val="32"/>
        </w:rPr>
        <w:sectPr>
          <w:footerReference r:id="rId12" w:type="default"/>
          <w:pgSz w:w="11906" w:h="16838"/>
          <w:pgMar w:top="1440" w:right="1800" w:bottom="1440" w:left="1800" w:header="851" w:footer="992" w:gutter="0"/>
          <w:pgNumType w:start="1"/>
          <w:cols w:space="720" w:num="1"/>
          <w:docGrid w:type="lines" w:linePitch="312" w:charSpace="0"/>
        </w:sectPr>
      </w:pPr>
      <w:r>
        <w:rPr>
          <w:rFonts w:hint="eastAsia" w:ascii="仿宋_GB2312" w:hAnsi="华文仿宋"/>
          <w:kern w:val="0"/>
          <w:szCs w:val="32"/>
        </w:rPr>
        <w:t>规划期限：</w:t>
      </w:r>
      <w:r>
        <w:rPr>
          <w:rFonts w:ascii="仿宋_GB2312" w:hAnsi="华文仿宋"/>
          <w:kern w:val="0"/>
          <w:szCs w:val="32"/>
        </w:rPr>
        <w:t>2016</w:t>
      </w:r>
      <w:r>
        <w:rPr>
          <w:rFonts w:hint="eastAsia" w:ascii="仿宋_GB2312" w:hAnsi="华文仿宋"/>
          <w:kern w:val="0"/>
          <w:szCs w:val="32"/>
        </w:rPr>
        <w:t>年</w:t>
      </w:r>
      <w:r>
        <w:rPr>
          <w:rFonts w:ascii="仿宋_GB2312" w:hAnsi="华文仿宋"/>
          <w:kern w:val="0"/>
          <w:szCs w:val="32"/>
        </w:rPr>
        <w:t>—2020</w:t>
      </w:r>
      <w:r>
        <w:rPr>
          <w:rFonts w:hint="eastAsia" w:ascii="仿宋_GB2312" w:hAnsi="华文仿宋"/>
          <w:kern w:val="0"/>
          <w:szCs w:val="32"/>
        </w:rPr>
        <w:t>年</w:t>
      </w:r>
    </w:p>
    <w:p>
      <w:pPr>
        <w:pStyle w:val="43"/>
        <w:ind w:firstLine="880"/>
      </w:pPr>
      <w:bookmarkStart w:id="5" w:name="_Toc460247825"/>
      <w:bookmarkStart w:id="6" w:name="_Toc459664776"/>
      <w:bookmarkStart w:id="7" w:name="_Toc423942644"/>
      <w:bookmarkStart w:id="8" w:name="_Toc459664383"/>
      <w:bookmarkStart w:id="9" w:name="_Toc459664916"/>
      <w:r>
        <w:rPr>
          <w:rFonts w:hint="eastAsia"/>
        </w:rPr>
        <w:t>第一部分</w:t>
      </w:r>
      <w:r>
        <w:t xml:space="preserve"> </w:t>
      </w:r>
      <w:r>
        <w:rPr>
          <w:rFonts w:hint="eastAsia"/>
        </w:rPr>
        <w:t>规划背景</w:t>
      </w:r>
      <w:bookmarkEnd w:id="5"/>
      <w:bookmarkEnd w:id="6"/>
      <w:bookmarkEnd w:id="7"/>
      <w:bookmarkEnd w:id="8"/>
      <w:bookmarkEnd w:id="9"/>
    </w:p>
    <w:p>
      <w:pPr>
        <w:pStyle w:val="38"/>
      </w:pPr>
      <w:bookmarkStart w:id="10" w:name="_Toc459664384"/>
      <w:bookmarkStart w:id="11" w:name="_Toc423942645"/>
      <w:bookmarkStart w:id="12" w:name="_Toc459664917"/>
      <w:bookmarkStart w:id="13" w:name="_Toc460247826"/>
      <w:r>
        <w:rPr>
          <w:rFonts w:hint="eastAsia"/>
        </w:rPr>
        <w:t>一、发展现状</w:t>
      </w:r>
      <w:bookmarkEnd w:id="10"/>
      <w:bookmarkEnd w:id="11"/>
      <w:bookmarkEnd w:id="12"/>
      <w:bookmarkEnd w:id="13"/>
    </w:p>
    <w:p>
      <w:pPr>
        <w:pStyle w:val="40"/>
      </w:pPr>
      <w:r>
        <w:rPr>
          <w:rFonts w:hint="eastAsia"/>
        </w:rPr>
        <w:t>“十二五”期间，区委区政府、开发区工委开发区管委高度重视、社会各界广泛关注和支持新区民政和社会福利事业，全区认真贯彻落实区委区政府、开发区工委开发区管委决策部署，深化民政和社会福利改革创新，不断增强民政和社会福利职能作用，在民政和社会福利事业的各个方面取得了显著成绩。</w:t>
      </w:r>
    </w:p>
    <w:p>
      <w:pPr>
        <w:pStyle w:val="39"/>
        <w:spacing w:before="156" w:after="156"/>
      </w:pPr>
      <w:bookmarkStart w:id="14" w:name="_Toc459664385"/>
      <w:bookmarkStart w:id="15" w:name="_Toc459664918"/>
      <w:bookmarkStart w:id="16" w:name="_Toc460247827"/>
      <w:r>
        <w:rPr>
          <w:rFonts w:hint="eastAsia"/>
        </w:rPr>
        <w:t>（一）基本民生</w:t>
      </w:r>
      <w:bookmarkEnd w:id="14"/>
      <w:bookmarkEnd w:id="15"/>
      <w:r>
        <w:rPr>
          <w:rFonts w:hint="eastAsia"/>
        </w:rPr>
        <w:t>保障水平大幅提升</w:t>
      </w:r>
      <w:bookmarkEnd w:id="16"/>
    </w:p>
    <w:p>
      <w:pPr>
        <w:ind w:firstLine="643" w:firstLineChars="0"/>
        <w:rPr>
          <w:rFonts w:ascii="仿宋_GB2312" w:hAnsi="仿宋"/>
          <w:szCs w:val="32"/>
        </w:rPr>
      </w:pPr>
      <w:r>
        <w:rPr>
          <w:rFonts w:hint="eastAsia" w:ascii="仿宋_GB2312" w:hAnsi="仿宋"/>
          <w:szCs w:val="32"/>
        </w:rPr>
        <w:t>最低生活保障制度不断完善，率先在全市实现了低保标准城乡一体化。建立低保标准动态调整机制，“十二五”期间，低保标准年均增长率超过</w:t>
      </w:r>
      <w:r>
        <w:rPr>
          <w:rFonts w:ascii="仿宋_GB2312" w:hAnsi="仿宋"/>
          <w:szCs w:val="32"/>
        </w:rPr>
        <w:t>15%</w:t>
      </w:r>
      <w:r>
        <w:rPr>
          <w:rFonts w:hint="eastAsia" w:ascii="仿宋_GB2312" w:hAnsi="仿宋"/>
          <w:szCs w:val="32"/>
        </w:rPr>
        <w:t>，达到每人每月</w:t>
      </w:r>
      <w:r>
        <w:rPr>
          <w:rFonts w:ascii="仿宋_GB2312" w:hAnsi="仿宋"/>
          <w:szCs w:val="32"/>
        </w:rPr>
        <w:t>710</w:t>
      </w:r>
      <w:r>
        <w:rPr>
          <w:rFonts w:hint="eastAsia" w:ascii="仿宋_GB2312" w:hAnsi="仿宋"/>
          <w:szCs w:val="32"/>
        </w:rPr>
        <w:t>元。完善低保对象认定办法，建立居民家庭经济状况核对机制，确保动态管理下的应保尽保，截止</w:t>
      </w:r>
      <w:r>
        <w:rPr>
          <w:rFonts w:ascii="仿宋_GB2312" w:hAnsi="仿宋"/>
          <w:szCs w:val="32"/>
        </w:rPr>
        <w:t>2015</w:t>
      </w:r>
      <w:r>
        <w:rPr>
          <w:rFonts w:hint="eastAsia" w:ascii="仿宋_GB2312" w:hAnsi="仿宋"/>
          <w:szCs w:val="32"/>
        </w:rPr>
        <w:t>年</w:t>
      </w:r>
      <w:r>
        <w:rPr>
          <w:rFonts w:ascii="仿宋_GB2312" w:hAnsi="仿宋"/>
          <w:szCs w:val="32"/>
        </w:rPr>
        <w:t>12</w:t>
      </w:r>
      <w:r>
        <w:rPr>
          <w:rFonts w:hint="eastAsia" w:ascii="仿宋_GB2312" w:hAnsi="仿宋"/>
          <w:szCs w:val="32"/>
        </w:rPr>
        <w:t>月底</w:t>
      </w:r>
      <w:r>
        <w:rPr>
          <w:rFonts w:ascii="仿宋_GB2312" w:hAnsi="仿宋"/>
          <w:szCs w:val="32"/>
        </w:rPr>
        <w:t>2103</w:t>
      </w:r>
      <w:r>
        <w:rPr>
          <w:rFonts w:hint="eastAsia" w:ascii="仿宋_GB2312" w:hAnsi="仿宋"/>
          <w:szCs w:val="32"/>
        </w:rPr>
        <w:t>户</w:t>
      </w:r>
      <w:r>
        <w:rPr>
          <w:rFonts w:ascii="仿宋_GB2312" w:hAnsi="仿宋"/>
          <w:szCs w:val="32"/>
        </w:rPr>
        <w:t>3379</w:t>
      </w:r>
      <w:r>
        <w:rPr>
          <w:rFonts w:hint="eastAsia" w:ascii="仿宋_GB2312" w:hAnsi="仿宋"/>
          <w:szCs w:val="32"/>
        </w:rPr>
        <w:t>名困难群众纳入保障范围。建立和完善专项救助制度和临时救助制度，专项救助范围不断拓展，不断加大对流浪乞讨、危房改造、受灾、医疗、养老、孤残儿童、教育、取暖、用电补贴、两节慰问等专项救助人财物投入力度，广泛开展“救急难”工作，解决城乡贫困居民突发性、临时性生活困难。落实征地超转人员的生活、医疗待遇，稳步提高待遇标准。坚持防灾救灾并重，做好救灾物资储备，开辟应急避难场所，</w:t>
      </w:r>
      <w:r>
        <w:rPr>
          <w:rFonts w:ascii="仿宋_GB2312" w:hAnsi="仿宋"/>
          <w:szCs w:val="32"/>
        </w:rPr>
        <w:t>25</w:t>
      </w:r>
      <w:r>
        <w:rPr>
          <w:rFonts w:hint="eastAsia" w:ascii="仿宋_GB2312" w:hAnsi="仿宋"/>
          <w:szCs w:val="32"/>
        </w:rPr>
        <w:t>家社区被评为国家级或市级减灾示范社区。</w:t>
      </w:r>
    </w:p>
    <w:p>
      <w:pPr>
        <w:ind w:firstLine="643" w:firstLineChars="0"/>
        <w:rPr>
          <w:rFonts w:ascii="仿宋_GB2312" w:hAnsi="仿宋"/>
          <w:szCs w:val="32"/>
        </w:rPr>
      </w:pPr>
      <w:r>
        <w:rPr>
          <w:rFonts w:hint="eastAsia" w:ascii="仿宋_GB2312" w:hAnsi="仿宋"/>
          <w:szCs w:val="32"/>
        </w:rPr>
        <w:t>不断完善孤儿医疗救助制度，在城镇居民基本医疗保险基础上，为符合条件的集中供养孤儿及散居孤儿办理“孤儿保障大行动”公益保险，进一步完善集中供养孤儿医疗费报销制度和住院押金制度。建成一所设施齐备、功能完善的区级儿童福利机构，推动儿童福利机构由单纯养育型向养育、医疗、特教、康复及技能培训等多功能型转变。健全孤残儿童福利保障正常增长机制，保障孤残儿童生活、教育、康复、医疗和就业等方面的基本需求。不断加大对流浪乞讨儿童的救助力度，“十二五”期间开展多项专项行动和集中救助活动，投入人力</w:t>
      </w:r>
      <w:r>
        <w:rPr>
          <w:rFonts w:ascii="仿宋_GB2312" w:hAnsi="仿宋"/>
          <w:szCs w:val="32"/>
        </w:rPr>
        <w:t>1</w:t>
      </w:r>
      <w:r>
        <w:rPr>
          <w:rFonts w:hint="eastAsia" w:ascii="仿宋_GB2312" w:hAnsi="仿宋"/>
          <w:szCs w:val="32"/>
        </w:rPr>
        <w:t>千余人，出动车辆</w:t>
      </w:r>
      <w:r>
        <w:rPr>
          <w:rFonts w:ascii="仿宋_GB2312" w:hAnsi="仿宋"/>
          <w:szCs w:val="32"/>
        </w:rPr>
        <w:t>500</w:t>
      </w:r>
      <w:r>
        <w:rPr>
          <w:rFonts w:hint="eastAsia" w:ascii="仿宋_GB2312" w:hAnsi="仿宋"/>
          <w:szCs w:val="32"/>
        </w:rPr>
        <w:t>余台次，累计救助流浪未成年人</w:t>
      </w:r>
      <w:r>
        <w:rPr>
          <w:rFonts w:ascii="仿宋_GB2312" w:hAnsi="仿宋"/>
          <w:szCs w:val="32"/>
        </w:rPr>
        <w:t>155</w:t>
      </w:r>
      <w:r>
        <w:rPr>
          <w:rFonts w:hint="eastAsia" w:ascii="仿宋_GB2312" w:hAnsi="仿宋"/>
          <w:szCs w:val="32"/>
        </w:rPr>
        <w:t>人次。</w:t>
      </w:r>
    </w:p>
    <w:p>
      <w:pPr>
        <w:ind w:firstLine="643" w:firstLineChars="0"/>
        <w:rPr>
          <w:rFonts w:ascii="仿宋_GB2312" w:hAnsi="仿宋"/>
          <w:szCs w:val="32"/>
        </w:rPr>
      </w:pPr>
      <w:r>
        <w:rPr>
          <w:rFonts w:hint="eastAsia" w:ascii="仿宋_GB2312" w:hAnsi="仿宋"/>
          <w:szCs w:val="32"/>
        </w:rPr>
        <w:t>慈善事业进一步发展，慈善捐助、公益彩票步入发展快车道，“十二五期间”累计接收捐款</w:t>
      </w:r>
      <w:r>
        <w:rPr>
          <w:rFonts w:ascii="仿宋_GB2312" w:hAnsi="仿宋"/>
          <w:szCs w:val="32"/>
        </w:rPr>
        <w:t>2600</w:t>
      </w:r>
      <w:r>
        <w:rPr>
          <w:rFonts w:hint="eastAsia" w:ascii="仿宋_GB2312" w:hAnsi="仿宋"/>
          <w:szCs w:val="32"/>
        </w:rPr>
        <w:t>万元，棉衣被等物资</w:t>
      </w:r>
      <w:r>
        <w:rPr>
          <w:rFonts w:ascii="仿宋_GB2312" w:hAnsi="仿宋"/>
          <w:szCs w:val="32"/>
        </w:rPr>
        <w:t>1.8</w:t>
      </w:r>
      <w:r>
        <w:rPr>
          <w:rFonts w:hint="eastAsia" w:ascii="仿宋_GB2312" w:hAnsi="仿宋"/>
          <w:szCs w:val="32"/>
        </w:rPr>
        <w:t>万余件，销售福利彩票</w:t>
      </w:r>
      <w:r>
        <w:rPr>
          <w:rFonts w:ascii="仿宋_GB2312" w:hAnsi="仿宋"/>
          <w:szCs w:val="32"/>
        </w:rPr>
        <w:t>8.62</w:t>
      </w:r>
      <w:r>
        <w:rPr>
          <w:rFonts w:hint="eastAsia" w:ascii="仿宋_GB2312" w:hAnsi="仿宋"/>
          <w:szCs w:val="32"/>
        </w:rPr>
        <w:t>亿元。落实福利企业优惠政策，促进福海公司转型，全区福利企业实现销售收入</w:t>
      </w:r>
      <w:r>
        <w:rPr>
          <w:rFonts w:ascii="仿宋_GB2312" w:hAnsi="仿宋"/>
          <w:szCs w:val="32"/>
        </w:rPr>
        <w:t>30</w:t>
      </w:r>
      <w:r>
        <w:rPr>
          <w:rFonts w:hint="eastAsia" w:ascii="仿宋_GB2312" w:hAnsi="仿宋"/>
          <w:szCs w:val="32"/>
        </w:rPr>
        <w:t>亿元。区内最大福利机构</w:t>
      </w:r>
      <w:r>
        <w:rPr>
          <w:rFonts w:ascii="仿宋_GB2312" w:hAnsi="仿宋"/>
          <w:szCs w:val="32"/>
        </w:rPr>
        <w:t>--</w:t>
      </w:r>
      <w:r>
        <w:rPr>
          <w:rFonts w:hint="eastAsia" w:ascii="仿宋_GB2312" w:hAnsi="仿宋"/>
          <w:szCs w:val="32"/>
        </w:rPr>
        <w:t>大兴区社会福利中心建成并投入使用，承担光荣院、儿童福利院、养老院三大职能，优先保障“三无”、“五保”、军烈属和经济困难低收入老人的护理服务需求。</w:t>
      </w:r>
    </w:p>
    <w:p>
      <w:pPr>
        <w:pStyle w:val="39"/>
        <w:spacing w:before="156" w:after="156"/>
      </w:pPr>
      <w:bookmarkStart w:id="17" w:name="_Toc460247828"/>
      <w:r>
        <w:rPr>
          <w:rFonts w:hint="eastAsia"/>
        </w:rPr>
        <w:t>（二）残疾人保障和服务体系日臻完善</w:t>
      </w:r>
      <w:bookmarkEnd w:id="17"/>
    </w:p>
    <w:p>
      <w:pPr>
        <w:ind w:firstLine="640"/>
      </w:pPr>
      <w:r>
        <w:rPr>
          <w:rFonts w:hint="eastAsia"/>
        </w:rPr>
        <w:t>残疾人事业经费保障及时到位，有效开展康复、就业、教育、扶贫解困、文化体育、服务设施建设等工作，</w:t>
      </w:r>
      <w:r>
        <w:t>60</w:t>
      </w:r>
      <w:r>
        <w:rPr>
          <w:rFonts w:hint="eastAsia"/>
        </w:rPr>
        <w:t>余万人次残疾人享受基本生活补助和养老助残券，城乡居民符合条件的残疾人养老和医疗保险参保率分别达到</w:t>
      </w:r>
      <w:r>
        <w:t>92%</w:t>
      </w:r>
      <w:r>
        <w:rPr>
          <w:rFonts w:hint="eastAsia"/>
        </w:rPr>
        <w:t>和</w:t>
      </w:r>
      <w:r>
        <w:t>100%</w:t>
      </w:r>
      <w:r>
        <w:rPr>
          <w:rFonts w:hint="eastAsia"/>
        </w:rPr>
        <w:t>。</w:t>
      </w:r>
      <w:r>
        <w:t>3</w:t>
      </w:r>
      <w:r>
        <w:rPr>
          <w:rFonts w:hint="eastAsia"/>
        </w:rPr>
        <w:t>万余残疾人享受到各项康复服务，进一步增强了福祉水平。建成</w:t>
      </w:r>
      <w:r>
        <w:rPr>
          <w:rFonts w:ascii="µÈÏß Western" w:hAnsi="µÈÏß Western"/>
        </w:rPr>
        <w:t>“</w:t>
      </w:r>
      <w:r>
        <w:rPr>
          <w:rFonts w:hint="eastAsia"/>
        </w:rPr>
        <w:t>大兴区残疾人培训基地</w:t>
      </w:r>
      <w:r>
        <w:rPr>
          <w:rFonts w:ascii="µÈÏß Western" w:hAnsi="µÈÏß Western"/>
        </w:rPr>
        <w:t>”</w:t>
      </w:r>
      <w:r>
        <w:rPr>
          <w:rFonts w:hint="eastAsia"/>
        </w:rPr>
        <w:t>，解决</w:t>
      </w:r>
      <w:r>
        <w:t>3177</w:t>
      </w:r>
      <w:r>
        <w:rPr>
          <w:rFonts w:hint="eastAsia"/>
        </w:rPr>
        <w:t>名劳动年龄段内有劳动能力残疾人就业。成立大兴区残疾人职康中心，加强对温馨家园、职康站、扶贫基地等服务机构管理，打造职康非遗品牌项目，逐步形成具有全区特色的残疾人社会保障体系和服务体系。</w:t>
      </w:r>
    </w:p>
    <w:p>
      <w:pPr>
        <w:pStyle w:val="39"/>
        <w:spacing w:before="156" w:after="156"/>
      </w:pPr>
      <w:bookmarkStart w:id="18" w:name="_Toc460247829"/>
      <w:bookmarkStart w:id="19" w:name="_Toc459664919"/>
      <w:bookmarkStart w:id="20" w:name="_Toc459664386"/>
      <w:r>
        <w:rPr>
          <w:rFonts w:hint="eastAsia"/>
        </w:rPr>
        <w:t>（三）养老服务体系逐步完善</w:t>
      </w:r>
      <w:bookmarkEnd w:id="18"/>
      <w:bookmarkEnd w:id="19"/>
      <w:bookmarkEnd w:id="20"/>
    </w:p>
    <w:p>
      <w:pPr>
        <w:spacing w:line="600" w:lineRule="exact"/>
        <w:ind w:firstLine="640"/>
        <w:rPr>
          <w:rFonts w:ascii="仿宋_GB2312" w:hAnsi="仿宋"/>
          <w:szCs w:val="32"/>
        </w:rPr>
      </w:pPr>
      <w:r>
        <w:rPr>
          <w:rFonts w:hint="eastAsia" w:ascii="仿宋_GB2312" w:hAnsi="仿宋"/>
          <w:szCs w:val="32"/>
        </w:rPr>
        <w:t>老年人福利保障制度进一步健全，福利养老金实现了城乡统筹。积极落实各项惠老政策，截至</w:t>
      </w:r>
      <w:r>
        <w:rPr>
          <w:rFonts w:ascii="仿宋_GB2312" w:hAnsi="仿宋"/>
          <w:szCs w:val="32"/>
        </w:rPr>
        <w:t>2015</w:t>
      </w:r>
      <w:r>
        <w:rPr>
          <w:rFonts w:hint="eastAsia" w:ascii="仿宋_GB2312" w:hAnsi="仿宋"/>
          <w:szCs w:val="32"/>
        </w:rPr>
        <w:t>年底，累计发放居家养老服务补贴</w:t>
      </w:r>
      <w:r>
        <w:rPr>
          <w:rFonts w:ascii="仿宋_GB2312" w:hAnsi="仿宋"/>
          <w:szCs w:val="32"/>
        </w:rPr>
        <w:t>8545</w:t>
      </w:r>
      <w:r>
        <w:rPr>
          <w:rFonts w:hint="eastAsia" w:ascii="仿宋_GB2312" w:hAnsi="仿宋"/>
          <w:szCs w:val="32"/>
        </w:rPr>
        <w:t>万元，高龄津贴</w:t>
      </w:r>
      <w:r>
        <w:rPr>
          <w:rFonts w:ascii="仿宋_GB2312" w:hAnsi="仿宋"/>
          <w:szCs w:val="32"/>
        </w:rPr>
        <w:t>550</w:t>
      </w:r>
      <w:r>
        <w:rPr>
          <w:rFonts w:hint="eastAsia" w:ascii="仿宋_GB2312" w:hAnsi="仿宋"/>
          <w:szCs w:val="32"/>
        </w:rPr>
        <w:t>万元，高龄特困慰问款</w:t>
      </w:r>
      <w:r>
        <w:rPr>
          <w:rFonts w:ascii="仿宋_GB2312" w:hAnsi="仿宋"/>
          <w:szCs w:val="32"/>
        </w:rPr>
        <w:t>116</w:t>
      </w:r>
      <w:r>
        <w:rPr>
          <w:rFonts w:hint="eastAsia" w:ascii="仿宋_GB2312" w:hAnsi="仿宋"/>
          <w:szCs w:val="32"/>
        </w:rPr>
        <w:t>万元，办理老年优待卡</w:t>
      </w:r>
      <w:r>
        <w:rPr>
          <w:rFonts w:ascii="仿宋_GB2312" w:hAnsi="仿宋"/>
          <w:szCs w:val="32"/>
        </w:rPr>
        <w:t>54400</w:t>
      </w:r>
      <w:r>
        <w:rPr>
          <w:rFonts w:hint="eastAsia" w:ascii="仿宋_GB2312" w:hAnsi="仿宋"/>
          <w:szCs w:val="32"/>
        </w:rPr>
        <w:t>张，老年优待证</w:t>
      </w:r>
      <w:r>
        <w:rPr>
          <w:rFonts w:ascii="仿宋_GB2312" w:hAnsi="仿宋"/>
          <w:szCs w:val="32"/>
        </w:rPr>
        <w:t>12101</w:t>
      </w:r>
      <w:r>
        <w:rPr>
          <w:rFonts w:hint="eastAsia" w:ascii="仿宋_GB2312" w:hAnsi="仿宋"/>
          <w:szCs w:val="32"/>
        </w:rPr>
        <w:t>个。</w:t>
      </w:r>
    </w:p>
    <w:p>
      <w:pPr>
        <w:spacing w:line="600" w:lineRule="exact"/>
        <w:ind w:firstLine="640"/>
        <w:rPr>
          <w:rFonts w:ascii="仿宋_GB2312" w:hAnsi="仿宋"/>
          <w:szCs w:val="32"/>
        </w:rPr>
      </w:pPr>
      <w:r>
        <w:rPr>
          <w:rFonts w:hint="eastAsia" w:ascii="仿宋_GB2312" w:hAnsi="仿宋"/>
          <w:szCs w:val="32"/>
        </w:rPr>
        <w:t>贯彻落实《北京市居家养老服务条例》，不断推进居家养老服务和社区养老服务。截止到</w:t>
      </w:r>
      <w:r>
        <w:rPr>
          <w:rFonts w:ascii="仿宋_GB2312" w:hAnsi="仿宋"/>
          <w:szCs w:val="32"/>
        </w:rPr>
        <w:t>2015</w:t>
      </w:r>
      <w:r>
        <w:rPr>
          <w:rFonts w:hint="eastAsia" w:ascii="仿宋_GB2312" w:hAnsi="仿宋"/>
          <w:szCs w:val="32"/>
        </w:rPr>
        <w:t>年底，在街镇、居村建设了</w:t>
      </w:r>
      <w:r>
        <w:rPr>
          <w:rFonts w:ascii="仿宋_GB2312" w:hAnsi="仿宋"/>
          <w:szCs w:val="32"/>
        </w:rPr>
        <w:t>25</w:t>
      </w:r>
      <w:r>
        <w:rPr>
          <w:rFonts w:hint="eastAsia" w:ascii="仿宋_GB2312" w:hAnsi="仿宋"/>
          <w:szCs w:val="32"/>
        </w:rPr>
        <w:t>家养老管理服务中心，发展各类养老服务商</w:t>
      </w:r>
      <w:r>
        <w:rPr>
          <w:rFonts w:ascii="仿宋_GB2312" w:hAnsi="仿宋"/>
          <w:szCs w:val="32"/>
        </w:rPr>
        <w:t>372</w:t>
      </w:r>
      <w:r>
        <w:rPr>
          <w:rFonts w:hint="eastAsia" w:ascii="仿宋_GB2312" w:hAnsi="仿宋"/>
          <w:szCs w:val="32"/>
        </w:rPr>
        <w:t>家，各类服务项目</w:t>
      </w:r>
      <w:r>
        <w:rPr>
          <w:rFonts w:ascii="仿宋_GB2312" w:hAnsi="仿宋"/>
          <w:szCs w:val="32"/>
        </w:rPr>
        <w:t>121</w:t>
      </w:r>
      <w:r>
        <w:rPr>
          <w:rFonts w:hint="eastAsia" w:ascii="仿宋_GB2312" w:hAnsi="仿宋"/>
          <w:szCs w:val="32"/>
        </w:rPr>
        <w:t>项，为老年人提供了居家生活服务、送餐就餐、日间照料等基本养老服务。积极推进街镇养老照料中心建设，到</w:t>
      </w:r>
      <w:r>
        <w:rPr>
          <w:rFonts w:ascii="仿宋_GB2312" w:hAnsi="仿宋"/>
          <w:szCs w:val="32"/>
        </w:rPr>
        <w:t>2015</w:t>
      </w:r>
      <w:r>
        <w:rPr>
          <w:rFonts w:hint="eastAsia" w:ascii="仿宋_GB2312" w:hAnsi="仿宋"/>
          <w:szCs w:val="32"/>
        </w:rPr>
        <w:t>年底建成</w:t>
      </w:r>
      <w:r>
        <w:rPr>
          <w:rFonts w:ascii="仿宋_GB2312" w:hAnsi="仿宋"/>
          <w:szCs w:val="32"/>
        </w:rPr>
        <w:t>5</w:t>
      </w:r>
      <w:r>
        <w:rPr>
          <w:rFonts w:hint="eastAsia" w:ascii="仿宋_GB2312" w:hAnsi="仿宋"/>
          <w:szCs w:val="32"/>
        </w:rPr>
        <w:t>家，增加养老床位</w:t>
      </w:r>
      <w:r>
        <w:rPr>
          <w:rFonts w:ascii="仿宋_GB2312" w:hAnsi="仿宋"/>
          <w:szCs w:val="32"/>
        </w:rPr>
        <w:t>375</w:t>
      </w:r>
      <w:r>
        <w:rPr>
          <w:rFonts w:hint="eastAsia" w:ascii="仿宋_GB2312" w:hAnsi="仿宋"/>
          <w:szCs w:val="32"/>
        </w:rPr>
        <w:t>张。加强农村幸福院建设，破解农村养老难题，利用上级拨付资金建设农村幸福院</w:t>
      </w:r>
      <w:r>
        <w:rPr>
          <w:rFonts w:ascii="仿宋_GB2312" w:hAnsi="仿宋"/>
          <w:szCs w:val="32"/>
        </w:rPr>
        <w:t>150</w:t>
      </w:r>
      <w:r>
        <w:rPr>
          <w:rFonts w:hint="eastAsia" w:ascii="仿宋_GB2312" w:hAnsi="仿宋"/>
          <w:szCs w:val="32"/>
        </w:rPr>
        <w:t>家，有</w:t>
      </w:r>
      <w:r>
        <w:rPr>
          <w:rFonts w:ascii="仿宋_GB2312" w:hAnsi="仿宋"/>
          <w:szCs w:val="32"/>
        </w:rPr>
        <w:t>26</w:t>
      </w:r>
      <w:r>
        <w:rPr>
          <w:rFonts w:hint="eastAsia" w:ascii="仿宋_GB2312" w:hAnsi="仿宋"/>
          <w:szCs w:val="32"/>
        </w:rPr>
        <w:t>家能够满足本村老年用餐或托老需求。积极探索医养结合，为</w:t>
      </w:r>
      <w:r>
        <w:rPr>
          <w:rFonts w:ascii="仿宋_GB2312" w:hAnsi="仿宋"/>
          <w:szCs w:val="32"/>
        </w:rPr>
        <w:t>7.67</w:t>
      </w:r>
      <w:r>
        <w:rPr>
          <w:rFonts w:hint="eastAsia" w:ascii="仿宋_GB2312" w:hAnsi="仿宋"/>
          <w:szCs w:val="32"/>
        </w:rPr>
        <w:t>万名老年人提供健康管理服务，指导黄村镇医院与专业养老服务机构合作，充分发挥基层医疗机构医疗、康复、护理的专业优势，为住院患者增加养老服务，实现“前医后护”医养一体的无缝对接。</w:t>
      </w:r>
    </w:p>
    <w:p>
      <w:pPr>
        <w:spacing w:line="600" w:lineRule="exact"/>
        <w:ind w:firstLine="640"/>
        <w:rPr>
          <w:rFonts w:ascii="仿宋_GB2312" w:hAnsi="仿宋"/>
          <w:szCs w:val="32"/>
        </w:rPr>
      </w:pPr>
      <w:r>
        <w:rPr>
          <w:rFonts w:hint="eastAsia" w:ascii="仿宋_GB2312" w:hAnsi="仿宋"/>
          <w:szCs w:val="32"/>
        </w:rPr>
        <w:t>进一步深化养老机构改革，提高养老机构行业化、规范化管理水平，建立养老护理员职业资格认证、持证上岗制度，推进养老服务机构“公办民营”、“民营公助”。不断加大养老设施建设，全区</w:t>
      </w:r>
      <w:r>
        <w:rPr>
          <w:rFonts w:ascii="仿宋_GB2312" w:hAnsi="仿宋"/>
          <w:szCs w:val="32"/>
        </w:rPr>
        <w:t>31</w:t>
      </w:r>
      <w:r>
        <w:rPr>
          <w:rFonts w:hint="eastAsia" w:ascii="仿宋_GB2312" w:hAnsi="仿宋"/>
          <w:szCs w:val="32"/>
        </w:rPr>
        <w:t>所养老机构共有运营床位</w:t>
      </w:r>
      <w:r>
        <w:rPr>
          <w:rFonts w:ascii="仿宋_GB2312" w:hAnsi="仿宋"/>
          <w:szCs w:val="32"/>
        </w:rPr>
        <w:t>5900</w:t>
      </w:r>
      <w:r>
        <w:rPr>
          <w:rFonts w:hint="eastAsia" w:ascii="仿宋_GB2312" w:hAnsi="仿宋"/>
          <w:szCs w:val="32"/>
        </w:rPr>
        <w:t>余张，每百名老人拥有养老床位数达到</w:t>
      </w:r>
      <w:r>
        <w:rPr>
          <w:rFonts w:ascii="仿宋_GB2312" w:hAnsi="仿宋"/>
          <w:szCs w:val="32"/>
        </w:rPr>
        <w:t>3.95</w:t>
      </w:r>
      <w:r>
        <w:rPr>
          <w:rFonts w:hint="eastAsia" w:ascii="仿宋_GB2312" w:hAnsi="仿宋"/>
          <w:szCs w:val="32"/>
        </w:rPr>
        <w:t>张，略高于北京市平均水平。</w:t>
      </w:r>
    </w:p>
    <w:p>
      <w:pPr>
        <w:pStyle w:val="39"/>
        <w:spacing w:before="156" w:after="156"/>
        <w:rPr>
          <w:rFonts w:ascii="仿宋" w:hAnsi="仿宋" w:eastAsia="仿宋" w:cs="宋体"/>
          <w:kern w:val="0"/>
        </w:rPr>
      </w:pPr>
      <w:bookmarkStart w:id="21" w:name="_Toc459664387"/>
      <w:bookmarkStart w:id="22" w:name="_Toc460247830"/>
      <w:bookmarkStart w:id="23" w:name="_Toc459664920"/>
      <w:r>
        <w:rPr>
          <w:rFonts w:hint="eastAsia"/>
        </w:rPr>
        <w:t>（四）社会治理能力和水平稳步提升</w:t>
      </w:r>
      <w:bookmarkEnd w:id="21"/>
      <w:bookmarkEnd w:id="22"/>
      <w:bookmarkEnd w:id="23"/>
    </w:p>
    <w:p>
      <w:pPr>
        <w:spacing w:line="600" w:lineRule="exact"/>
        <w:ind w:firstLine="640"/>
        <w:rPr>
          <w:rFonts w:ascii="仿宋_GB2312" w:hAnsi="仿宋"/>
          <w:szCs w:val="32"/>
        </w:rPr>
      </w:pPr>
      <w:r>
        <w:rPr>
          <w:rFonts w:hint="eastAsia" w:ascii="仿宋_GB2312" w:hAnsi="仿宋"/>
          <w:szCs w:val="32"/>
        </w:rPr>
        <w:t>加强基层社会管理创新，夯实社会服务管理基层平台，积极创建“六型”社区、和谐社区、和谐村镇，推进城乡社区服务站标准化建设全覆盖。推进基层民主协商自治，合理确定居委会数量，全区社区居委会总数达</w:t>
      </w:r>
      <w:r>
        <w:rPr>
          <w:rFonts w:ascii="仿宋_GB2312" w:hAnsi="仿宋"/>
          <w:szCs w:val="32"/>
        </w:rPr>
        <w:t>179</w:t>
      </w:r>
      <w:r>
        <w:rPr>
          <w:rFonts w:hint="eastAsia" w:ascii="仿宋_GB2312" w:hAnsi="仿宋"/>
          <w:szCs w:val="32"/>
        </w:rPr>
        <w:t>个。认真做好社区（村）委会换届选举，居（村）委会主任“一肩挑”和两委交叉任职比例逐届提高，实现选优选强目标，完善村（居）务公开民主决策和监督机制，实施村级重大事务“票决制”自治模式。大力发展街道社区服务，推进城乡社区服务站标准化建设全覆盖，拓宽</w:t>
      </w:r>
      <w:r>
        <w:rPr>
          <w:rFonts w:ascii="仿宋_GB2312" w:hAnsi="仿宋"/>
          <w:szCs w:val="32"/>
        </w:rPr>
        <w:t>96156</w:t>
      </w:r>
      <w:r>
        <w:rPr>
          <w:rFonts w:hint="eastAsia" w:ascii="仿宋_GB2312" w:hAnsi="仿宋"/>
          <w:szCs w:val="32"/>
        </w:rPr>
        <w:t>社区中心服务职能。大力培育扶持社会组织，构建“枢纽型”社会组织体系，开展政府购买服务民生行动，动员更多社会力量参与社会建设。不断壮大专业社工人才和社区志愿者队伍，登记注册社会工作者数量达到了</w:t>
      </w:r>
      <w:r>
        <w:rPr>
          <w:rFonts w:ascii="仿宋_GB2312" w:hAnsi="仿宋"/>
          <w:szCs w:val="32"/>
        </w:rPr>
        <w:t>700</w:t>
      </w:r>
      <w:r>
        <w:rPr>
          <w:rFonts w:hint="eastAsia" w:ascii="仿宋_GB2312" w:hAnsi="仿宋"/>
          <w:szCs w:val="32"/>
        </w:rPr>
        <w:t>人，注册登记社区志愿者达到</w:t>
      </w:r>
      <w:r>
        <w:rPr>
          <w:rFonts w:ascii="仿宋_GB2312" w:hAnsi="仿宋"/>
          <w:szCs w:val="32"/>
        </w:rPr>
        <w:t>6</w:t>
      </w:r>
      <w:r>
        <w:rPr>
          <w:rFonts w:hint="eastAsia" w:ascii="仿宋_GB2312" w:hAnsi="仿宋"/>
          <w:szCs w:val="32"/>
        </w:rPr>
        <w:t>万余名。织密网格化社会治理网络，、圆满完成了“</w:t>
      </w:r>
      <w:r>
        <w:rPr>
          <w:rFonts w:ascii="仿宋_GB2312" w:hAnsi="仿宋"/>
          <w:szCs w:val="32"/>
        </w:rPr>
        <w:t>APEC</w:t>
      </w:r>
      <w:r>
        <w:rPr>
          <w:rFonts w:hint="eastAsia" w:ascii="仿宋_GB2312" w:hAnsi="仿宋"/>
          <w:szCs w:val="32"/>
        </w:rPr>
        <w:t>峰会”、“两大安保”等服务保障任务。</w:t>
      </w:r>
    </w:p>
    <w:p>
      <w:pPr>
        <w:pStyle w:val="39"/>
        <w:spacing w:before="156" w:after="156"/>
      </w:pPr>
      <w:bookmarkStart w:id="24" w:name="_Toc459664921"/>
      <w:bookmarkStart w:id="25" w:name="_Toc459664388"/>
      <w:bookmarkStart w:id="26" w:name="_Toc460247831"/>
      <w:r>
        <w:rPr>
          <w:rFonts w:hint="eastAsia"/>
        </w:rPr>
        <w:t>（五）服务国防和军队建设坚定有力</w:t>
      </w:r>
      <w:bookmarkEnd w:id="24"/>
      <w:bookmarkEnd w:id="25"/>
      <w:bookmarkEnd w:id="26"/>
    </w:p>
    <w:p>
      <w:pPr>
        <w:spacing w:line="600" w:lineRule="exact"/>
        <w:ind w:firstLine="640"/>
        <w:rPr>
          <w:rFonts w:ascii="仿宋_GB2312" w:hAnsi="仿宋"/>
          <w:szCs w:val="32"/>
        </w:rPr>
      </w:pPr>
      <w:r>
        <w:rPr>
          <w:rFonts w:hint="eastAsia" w:ascii="仿宋_GB2312" w:hAnsi="仿宋"/>
          <w:szCs w:val="32"/>
        </w:rPr>
        <w:t>落实各项优抚政策制度，实现抚恤补助和义务兵优待标准城乡统筹，高标准完成</w:t>
      </w:r>
      <w:r>
        <w:rPr>
          <w:rFonts w:ascii="仿宋_GB2312" w:hAnsi="仿宋"/>
          <w:szCs w:val="32"/>
        </w:rPr>
        <w:t>67</w:t>
      </w:r>
      <w:r>
        <w:rPr>
          <w:rFonts w:hint="eastAsia" w:ascii="仿宋_GB2312" w:hAnsi="仿宋"/>
          <w:szCs w:val="32"/>
        </w:rPr>
        <w:t>户优抚对象危房改造，进一步提升光荣院保障水平。做好接收安置工作，高质量完成</w:t>
      </w:r>
      <w:r>
        <w:rPr>
          <w:rFonts w:ascii="仿宋_GB2312" w:hAnsi="仿宋"/>
          <w:szCs w:val="32"/>
        </w:rPr>
        <w:t>1094</w:t>
      </w:r>
      <w:r>
        <w:rPr>
          <w:rFonts w:hint="eastAsia" w:ascii="仿宋_GB2312" w:hAnsi="仿宋"/>
          <w:szCs w:val="32"/>
        </w:rPr>
        <w:t>名退役士兵的接收安置，安置率</w:t>
      </w:r>
      <w:r>
        <w:rPr>
          <w:rFonts w:ascii="仿宋_GB2312" w:hAnsi="仿宋"/>
          <w:szCs w:val="32"/>
        </w:rPr>
        <w:t>100%</w:t>
      </w:r>
      <w:r>
        <w:rPr>
          <w:rFonts w:hint="eastAsia" w:ascii="仿宋_GB2312" w:hAnsi="仿宋"/>
          <w:szCs w:val="32"/>
        </w:rPr>
        <w:t>，积极做好驻区部队干部随军家属就业安置、子女入学协调工作，全面提升军休人员服务管理水平。推进烈士纪念设施建设，在区内清源公园建成了烈士纪念广场，组织实施</w:t>
      </w:r>
      <w:r>
        <w:rPr>
          <w:rFonts w:ascii="仿宋_GB2312" w:hAnsi="仿宋"/>
          <w:szCs w:val="32"/>
        </w:rPr>
        <w:t>9.30</w:t>
      </w:r>
      <w:r>
        <w:rPr>
          <w:rFonts w:hint="eastAsia" w:ascii="仿宋_GB2312" w:hAnsi="仿宋"/>
          <w:szCs w:val="32"/>
        </w:rPr>
        <w:t>烈日纪念日公祭活动，进行缅怀先烈爱国主义教育。以促进军民融合发展为目标，广泛开展拥军优属、拥政爱民活动，蝉联全国双拥模范城“五连冠”。</w:t>
      </w:r>
    </w:p>
    <w:p>
      <w:pPr>
        <w:pStyle w:val="39"/>
        <w:spacing w:before="156" w:after="156"/>
      </w:pPr>
      <w:bookmarkStart w:id="27" w:name="_Toc459664389"/>
      <w:bookmarkStart w:id="28" w:name="_Toc459664922"/>
      <w:bookmarkStart w:id="29" w:name="_Toc460247832"/>
      <w:r>
        <w:rPr>
          <w:rFonts w:hint="eastAsia"/>
        </w:rPr>
        <w:t>（六）专项社会事务管理服务高效有序</w:t>
      </w:r>
      <w:bookmarkEnd w:id="27"/>
      <w:bookmarkEnd w:id="28"/>
      <w:bookmarkEnd w:id="29"/>
    </w:p>
    <w:p>
      <w:pPr>
        <w:spacing w:line="600" w:lineRule="exact"/>
        <w:ind w:firstLine="640"/>
        <w:rPr>
          <w:rFonts w:ascii="仿宋_GB2312" w:hAnsi="仿宋"/>
          <w:szCs w:val="32"/>
        </w:rPr>
      </w:pPr>
      <w:r>
        <w:rPr>
          <w:rFonts w:hint="eastAsia" w:ascii="仿宋_GB2312" w:hAnsi="仿宋"/>
          <w:szCs w:val="32"/>
        </w:rPr>
        <w:t>做好行政区划设置工作，审核、制作大兴新城、亦庄新城区划图，理顺两区行政管理体制，新成立高米店、荣华、博兴三个街道办事处。创新婚姻登记服务理念，取消登记工本费，增设涉外婚姻办理项目，推出“婚礼式颁证”服务，引入心理咨询对离婚当事人进行调解和干预，积极推行由单纯的行政登记管理向和谐婚姻家庭建设的转变。加大温馨舒适现化代婚姻登记设施改造，成为北京市首家</w:t>
      </w:r>
      <w:r>
        <w:rPr>
          <w:rFonts w:ascii="仿宋_GB2312" w:hAnsi="仿宋"/>
          <w:szCs w:val="32"/>
        </w:rPr>
        <w:t>5A</w:t>
      </w:r>
      <w:r>
        <w:rPr>
          <w:rFonts w:hint="eastAsia" w:ascii="仿宋_GB2312" w:hAnsi="仿宋"/>
          <w:szCs w:val="32"/>
        </w:rPr>
        <w:t>级婚姻登记机关。推动殡葬服务社会化进程，推行绿化、环保、生态殡葬，建成采育、榆垡、礼贤等地林间公益墓地，为整体推进殡葬改革，以及保障新机场建设范围内的墓地迁移工作奠定坚实基础。制定出台《大兴区关于加强见义勇为人员权益保护工作的意见》，依法确认见义勇为人员</w:t>
      </w:r>
      <w:r>
        <w:rPr>
          <w:rFonts w:ascii="仿宋_GB2312" w:hAnsi="仿宋"/>
          <w:szCs w:val="32"/>
        </w:rPr>
        <w:t>56</w:t>
      </w:r>
      <w:r>
        <w:rPr>
          <w:rFonts w:hint="eastAsia" w:ascii="仿宋_GB2312" w:hAnsi="仿宋"/>
          <w:szCs w:val="32"/>
        </w:rPr>
        <w:t>名，加强见义勇为先进个人和典型事迹宣传，传递社会正能量。</w:t>
      </w:r>
    </w:p>
    <w:p>
      <w:pPr>
        <w:pStyle w:val="39"/>
        <w:spacing w:before="156" w:after="156"/>
      </w:pPr>
      <w:bookmarkStart w:id="30" w:name="_Toc460247833"/>
      <w:r>
        <w:rPr>
          <w:rFonts w:hint="eastAsia"/>
        </w:rPr>
        <w:t>（七）民政队伍建设不断加强</w:t>
      </w:r>
      <w:bookmarkEnd w:id="30"/>
    </w:p>
    <w:p>
      <w:pPr>
        <w:spacing w:line="600" w:lineRule="exact"/>
        <w:ind w:firstLine="624" w:firstLineChars="195"/>
        <w:rPr>
          <w:rFonts w:ascii="仿宋_GB2312" w:hAnsi="仿宋"/>
          <w:szCs w:val="32"/>
        </w:rPr>
      </w:pPr>
      <w:r>
        <w:rPr>
          <w:rFonts w:hint="eastAsia" w:ascii="仿宋_GB2312" w:hAnsi="仿宋"/>
          <w:szCs w:val="32"/>
        </w:rPr>
        <w:t>进一步理顺和调整、充实直属单位领导班子，有效改善整体结构，不断增加班子凝聚力、战斗力。深入开展“党的群众路线教育实践活动”、“三严三实”专题教育，</w:t>
      </w:r>
      <w:r>
        <w:rPr>
          <w:rFonts w:ascii="仿宋_GB2312" w:hAnsi="仿宋"/>
          <w:szCs w:val="32"/>
        </w:rPr>
        <w:t xml:space="preserve"> </w:t>
      </w:r>
      <w:r>
        <w:rPr>
          <w:rFonts w:hint="eastAsia" w:ascii="仿宋_GB2312" w:hAnsi="仿宋"/>
          <w:szCs w:val="32"/>
        </w:rPr>
        <w:t>查摆并整改“四风”问题和“不严不实”现象。贯彻落实中央八项规定，严格办公用房、公车使用、“三公经费”管理。加大反腐倡廉教育力度，梳理权力清单，查找岗位风险点。</w:t>
      </w:r>
      <w:r>
        <w:rPr>
          <w:rFonts w:ascii="仿宋_GB2312" w:hAnsi="仿宋"/>
          <w:szCs w:val="32"/>
        </w:rPr>
        <w:t xml:space="preserve"> </w:t>
      </w:r>
      <w:r>
        <w:rPr>
          <w:rFonts w:hint="eastAsia" w:ascii="仿宋_GB2312" w:hAnsi="仿宋"/>
          <w:szCs w:val="32"/>
        </w:rPr>
        <w:t>完善干部教育培训，不断增强理论水平、思维创新、业务能力，营造民政系统风清气正良好氛围。加大宣传力度，依托市区主流媒体和政府微博、微信新兴媒介，弘扬爱国忧民、孝亲敬老、扶危济困、见义勇为、甘于奉献的民政传统文化。倡导“民本、务实、平等、奉献”民政工作核心价值观，培育一支求真务实、团结拼博、作风过硬的干部队伍。</w:t>
      </w:r>
    </w:p>
    <w:p>
      <w:pPr>
        <w:spacing w:line="600" w:lineRule="exact"/>
        <w:ind w:firstLine="624" w:firstLineChars="195"/>
        <w:rPr>
          <w:rFonts w:ascii="仿宋_GB2312" w:hAnsi="仿宋"/>
          <w:szCs w:val="32"/>
        </w:rPr>
      </w:pPr>
      <w:r>
        <w:rPr>
          <w:rFonts w:hint="eastAsia" w:ascii="仿宋_GB2312" w:hAnsi="仿宋"/>
          <w:szCs w:val="32"/>
        </w:rPr>
        <w:t>过去的五年是新区民政和社会福利事业发展最快的时期，是广大群众、特别是困难群体得实惠最多的时期，是民政工作领域不断拓展、影响日益广泛、职能作用充分发挥的时期。“十二五”规划所确定的各项目标任务基本完成，为“十三五”民政事业的发展创造了良好条件，奠定了坚实基础。</w:t>
      </w: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spacing w:line="600" w:lineRule="exact"/>
        <w:ind w:firstLine="624" w:firstLineChars="195"/>
        <w:rPr>
          <w:rFonts w:ascii="仿宋_GB2312" w:hAnsi="仿宋"/>
          <w:szCs w:val="32"/>
        </w:rPr>
      </w:pPr>
    </w:p>
    <w:p>
      <w:pPr>
        <w:ind w:left="640" w:firstLine="0" w:firstLineChars="0"/>
        <w:jc w:val="center"/>
        <w:rPr>
          <w:rFonts w:ascii="楷体_GB2312" w:eastAsia="楷体_GB2312"/>
          <w:b/>
        </w:rPr>
      </w:pPr>
      <w:r>
        <w:rPr>
          <w:rFonts w:hint="eastAsia" w:ascii="楷体_GB2312" w:eastAsia="楷体_GB2312"/>
          <w:b/>
        </w:rPr>
        <w:t>“十二五”期间民政事业发展规划</w:t>
      </w:r>
    </w:p>
    <w:p>
      <w:pPr>
        <w:ind w:left="640" w:firstLine="0" w:firstLineChars="0"/>
        <w:jc w:val="center"/>
        <w:rPr>
          <w:rFonts w:ascii="楷体_GB2312" w:eastAsia="楷体_GB2312"/>
          <w:b/>
        </w:rPr>
      </w:pPr>
      <w:r>
        <w:rPr>
          <w:rFonts w:hint="eastAsia" w:ascii="楷体_GB2312" w:eastAsia="楷体_GB2312"/>
          <w:b/>
        </w:rPr>
        <w:t>主要指标完成情况</w:t>
      </w:r>
    </w:p>
    <w:tbl>
      <w:tblPr>
        <w:tblStyle w:val="18"/>
        <w:tblW w:w="9180" w:type="dxa"/>
        <w:tblInd w:w="0" w:type="dxa"/>
        <w:tblLayout w:type="fixed"/>
        <w:tblCellMar>
          <w:top w:w="0" w:type="dxa"/>
          <w:left w:w="108" w:type="dxa"/>
          <w:bottom w:w="0" w:type="dxa"/>
          <w:right w:w="108" w:type="dxa"/>
        </w:tblCellMar>
      </w:tblPr>
      <w:tblGrid>
        <w:gridCol w:w="1526"/>
        <w:gridCol w:w="567"/>
        <w:gridCol w:w="5106"/>
        <w:gridCol w:w="991"/>
        <w:gridCol w:w="990"/>
      </w:tblGrid>
      <w:tr>
        <w:tblPrEx>
          <w:tblCellMar>
            <w:top w:w="0" w:type="dxa"/>
            <w:left w:w="108" w:type="dxa"/>
            <w:bottom w:w="0" w:type="dxa"/>
            <w:right w:w="108" w:type="dxa"/>
          </w:tblCellMar>
        </w:tblPrEx>
        <w:trPr>
          <w:cantSplit/>
          <w:trHeight w:val="270" w:hRule="atLeast"/>
        </w:trPr>
        <w:tc>
          <w:tcPr>
            <w:tcW w:w="1526"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类别</w:t>
            </w:r>
          </w:p>
        </w:tc>
        <w:tc>
          <w:tcPr>
            <w:tcW w:w="567"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序号</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指标</w:t>
            </w:r>
          </w:p>
        </w:tc>
        <w:tc>
          <w:tcPr>
            <w:tcW w:w="991"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2010</w:t>
            </w:r>
            <w:r>
              <w:rPr>
                <w:rFonts w:hint="eastAsia" w:ascii="仿宋_GB2312" w:hAnsi="宋体" w:cs="宋体"/>
                <w:color w:val="000000"/>
                <w:kern w:val="0"/>
                <w:sz w:val="24"/>
                <w:szCs w:val="24"/>
              </w:rPr>
              <w:t>年</w:t>
            </w:r>
          </w:p>
        </w:tc>
        <w:tc>
          <w:tcPr>
            <w:tcW w:w="99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截止</w:t>
            </w:r>
            <w:r>
              <w:rPr>
                <w:rFonts w:ascii="仿宋_GB2312" w:hAnsi="宋体" w:cs="宋体"/>
                <w:color w:val="000000"/>
                <w:kern w:val="0"/>
                <w:sz w:val="24"/>
                <w:szCs w:val="24"/>
              </w:rPr>
              <w:t>2015</w:t>
            </w:r>
            <w:r>
              <w:rPr>
                <w:rFonts w:hint="eastAsia" w:ascii="仿宋_GB2312" w:hAnsi="宋体" w:cs="宋体"/>
                <w:color w:val="000000"/>
                <w:kern w:val="0"/>
                <w:sz w:val="24"/>
                <w:szCs w:val="24"/>
              </w:rPr>
              <w:t>年底</w:t>
            </w:r>
          </w:p>
        </w:tc>
      </w:tr>
      <w:tr>
        <w:tblPrEx>
          <w:tblCellMar>
            <w:top w:w="0" w:type="dxa"/>
            <w:left w:w="108" w:type="dxa"/>
            <w:bottom w:w="0" w:type="dxa"/>
            <w:right w:w="108" w:type="dxa"/>
          </w:tblCellMar>
        </w:tblPrEx>
        <w:trPr>
          <w:cantSplit/>
          <w:trHeight w:val="270" w:hRule="atLeast"/>
        </w:trPr>
        <w:tc>
          <w:tcPr>
            <w:tcW w:w="1526"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社会救助</w:t>
            </w: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最低生活保障标准（元</w:t>
            </w:r>
            <w:r>
              <w:rPr>
                <w:rFonts w:ascii="仿宋_GB2312" w:hAnsi="宋体" w:cs="宋体"/>
                <w:color w:val="000000"/>
                <w:kern w:val="0"/>
                <w:sz w:val="24"/>
                <w:szCs w:val="24"/>
              </w:rPr>
              <w:t>/</w:t>
            </w:r>
            <w:r>
              <w:rPr>
                <w:rFonts w:hint="eastAsia" w:ascii="仿宋_GB2312" w:hAnsi="宋体" w:cs="宋体"/>
                <w:color w:val="000000"/>
                <w:kern w:val="0"/>
                <w:sz w:val="24"/>
                <w:szCs w:val="24"/>
              </w:rPr>
              <w:t>月</w:t>
            </w:r>
            <w:r>
              <w:rPr>
                <w:rFonts w:ascii="仿宋_GB2312" w:hAnsi="宋体" w:cs="宋体"/>
                <w:color w:val="000000"/>
                <w:kern w:val="0"/>
                <w:sz w:val="24"/>
                <w:szCs w:val="24"/>
              </w:rPr>
              <w:t>.</w:t>
            </w:r>
            <w:r>
              <w:rPr>
                <w:rFonts w:hint="eastAsia" w:ascii="仿宋_GB2312" w:hAnsi="宋体" w:cs="宋体"/>
                <w:color w:val="000000"/>
                <w:kern w:val="0"/>
                <w:sz w:val="24"/>
                <w:szCs w:val="24"/>
              </w:rPr>
              <w:t>人</w:t>
            </w:r>
            <w:r>
              <w:rPr>
                <w:rFonts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710</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最低生活保障人数（人）</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3546</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救助未成年人（人次）</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155</w:t>
            </w:r>
          </w:p>
        </w:tc>
      </w:tr>
      <w:tr>
        <w:tblPrEx>
          <w:tblCellMar>
            <w:top w:w="0" w:type="dxa"/>
            <w:left w:w="108" w:type="dxa"/>
            <w:bottom w:w="0" w:type="dxa"/>
            <w:right w:w="108" w:type="dxa"/>
          </w:tblCellMar>
        </w:tblPrEx>
        <w:trPr>
          <w:cantSplit/>
          <w:trHeight w:val="270" w:hRule="atLeast"/>
        </w:trPr>
        <w:tc>
          <w:tcPr>
            <w:tcW w:w="1526"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残疾人社会</w:t>
            </w:r>
            <w:r>
              <w:rPr>
                <w:rFonts w:ascii="仿宋_GB2312" w:hAnsi="宋体" w:cs="宋体"/>
                <w:color w:val="000000"/>
                <w:kern w:val="0"/>
                <w:sz w:val="24"/>
                <w:szCs w:val="24"/>
              </w:rPr>
              <w:br w:type="textWrapping"/>
            </w:r>
            <w:r>
              <w:rPr>
                <w:rFonts w:hint="eastAsia" w:ascii="仿宋_GB2312" w:hAnsi="宋体" w:cs="宋体"/>
                <w:color w:val="000000"/>
                <w:kern w:val="0"/>
                <w:sz w:val="24"/>
                <w:szCs w:val="24"/>
              </w:rPr>
              <w:t>保障和服务</w:t>
            </w: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4</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享受基本生活补助和养老助残券人次（万）</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1.7</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5</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养老保险参保率（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92</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6</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医疗保险参保率（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100</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7</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享受康复服务人数（万）</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8</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解决劳动年龄段内有劳动能力残疾人就业人数</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3177</w:t>
            </w:r>
          </w:p>
        </w:tc>
      </w:tr>
      <w:tr>
        <w:tblPrEx>
          <w:tblCellMar>
            <w:top w:w="0" w:type="dxa"/>
            <w:left w:w="108" w:type="dxa"/>
            <w:bottom w:w="0" w:type="dxa"/>
            <w:right w:w="108" w:type="dxa"/>
          </w:tblCellMar>
        </w:tblPrEx>
        <w:trPr>
          <w:cantSplit/>
          <w:trHeight w:val="270" w:hRule="atLeast"/>
        </w:trPr>
        <w:tc>
          <w:tcPr>
            <w:tcW w:w="1526" w:type="dxa"/>
            <w:vMerge w:val="restart"/>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老龄工作和</w:t>
            </w:r>
            <w:r>
              <w:rPr>
                <w:rFonts w:ascii="仿宋_GB2312" w:hAnsi="宋体" w:cs="宋体"/>
                <w:color w:val="000000"/>
                <w:kern w:val="0"/>
                <w:sz w:val="24"/>
                <w:szCs w:val="24"/>
              </w:rPr>
              <w:br w:type="textWrapping"/>
            </w:r>
            <w:r>
              <w:rPr>
                <w:rFonts w:hint="eastAsia" w:ascii="仿宋_GB2312" w:hAnsi="宋体" w:cs="宋体"/>
                <w:color w:val="000000"/>
                <w:kern w:val="0"/>
                <w:sz w:val="24"/>
                <w:szCs w:val="24"/>
              </w:rPr>
              <w:t>社会福利</w:t>
            </w: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9</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养老床位总数（万张）</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0.5</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1.23</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百名老人拥有养老床位数（张）</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1.82</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3.95</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11</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接受社会捐款（万元）</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2600</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12</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销售福利彩票（亿元）</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8.62</w:t>
            </w:r>
          </w:p>
        </w:tc>
      </w:tr>
      <w:tr>
        <w:tblPrEx>
          <w:tblCellMar>
            <w:top w:w="0" w:type="dxa"/>
            <w:left w:w="108" w:type="dxa"/>
            <w:bottom w:w="0" w:type="dxa"/>
            <w:right w:w="108" w:type="dxa"/>
          </w:tblCellMar>
        </w:tblPrEx>
        <w:trPr>
          <w:cantSplit/>
          <w:trHeight w:val="270"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13</w:t>
            </w:r>
          </w:p>
        </w:tc>
        <w:tc>
          <w:tcPr>
            <w:tcW w:w="5106"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福利企业实现销售收入（亿元）</w:t>
            </w:r>
          </w:p>
        </w:tc>
        <w:tc>
          <w:tcPr>
            <w:tcW w:w="991"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w:t>
            </w:r>
          </w:p>
        </w:tc>
        <w:tc>
          <w:tcPr>
            <w:tcW w:w="99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0.36</w:t>
            </w:r>
          </w:p>
        </w:tc>
      </w:tr>
      <w:tr>
        <w:tblPrEx>
          <w:tblCellMar>
            <w:top w:w="0" w:type="dxa"/>
            <w:left w:w="108" w:type="dxa"/>
            <w:bottom w:w="0" w:type="dxa"/>
            <w:right w:w="108" w:type="dxa"/>
          </w:tblCellMar>
        </w:tblPrEx>
        <w:trPr>
          <w:cantSplit/>
          <w:trHeight w:val="285" w:hRule="atLeast"/>
        </w:trPr>
        <w:tc>
          <w:tcPr>
            <w:tcW w:w="1526"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基层政权和</w:t>
            </w:r>
            <w:r>
              <w:rPr>
                <w:rFonts w:ascii="仿宋_GB2312" w:hAnsi="宋体" w:cs="宋体"/>
                <w:color w:val="000000"/>
                <w:kern w:val="0"/>
                <w:sz w:val="24"/>
                <w:szCs w:val="24"/>
              </w:rPr>
              <w:br w:type="textWrapping"/>
            </w:r>
            <w:r>
              <w:rPr>
                <w:rFonts w:hint="eastAsia" w:ascii="仿宋_GB2312" w:hAnsi="宋体" w:cs="宋体"/>
                <w:color w:val="000000"/>
                <w:kern w:val="0"/>
                <w:sz w:val="24"/>
                <w:szCs w:val="24"/>
              </w:rPr>
              <w:t>社区建设</w:t>
            </w: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14</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和谐社区创建率（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30</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90</w:t>
            </w:r>
          </w:p>
        </w:tc>
      </w:tr>
      <w:tr>
        <w:tblPrEx>
          <w:tblCellMar>
            <w:top w:w="0" w:type="dxa"/>
            <w:left w:w="108" w:type="dxa"/>
            <w:bottom w:w="0" w:type="dxa"/>
            <w:right w:w="108" w:type="dxa"/>
          </w:tblCellMar>
        </w:tblPrEx>
        <w:trPr>
          <w:cantSplit/>
          <w:trHeight w:val="285"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15</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农村社区服务站建设率（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38</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100</w:t>
            </w:r>
          </w:p>
        </w:tc>
      </w:tr>
      <w:tr>
        <w:tblPrEx>
          <w:tblCellMar>
            <w:top w:w="0" w:type="dxa"/>
            <w:left w:w="108" w:type="dxa"/>
            <w:bottom w:w="0" w:type="dxa"/>
            <w:right w:w="108" w:type="dxa"/>
          </w:tblCellMar>
        </w:tblPrEx>
        <w:trPr>
          <w:cantSplit/>
          <w:trHeight w:val="285"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16</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社区服务管理信息化网络覆盖率（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40</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90</w:t>
            </w:r>
          </w:p>
        </w:tc>
      </w:tr>
      <w:tr>
        <w:tblPrEx>
          <w:tblCellMar>
            <w:top w:w="0" w:type="dxa"/>
            <w:left w:w="108" w:type="dxa"/>
            <w:bottom w:w="0" w:type="dxa"/>
            <w:right w:w="108" w:type="dxa"/>
          </w:tblCellMar>
        </w:tblPrEx>
        <w:trPr>
          <w:cantSplit/>
          <w:trHeight w:val="285"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17</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社区志愿者占居民人口比例（</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7.5</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11.5</w:t>
            </w:r>
          </w:p>
        </w:tc>
      </w:tr>
      <w:tr>
        <w:tblPrEx>
          <w:tblCellMar>
            <w:top w:w="0" w:type="dxa"/>
            <w:left w:w="108" w:type="dxa"/>
            <w:bottom w:w="0" w:type="dxa"/>
            <w:right w:w="108" w:type="dxa"/>
          </w:tblCellMar>
        </w:tblPrEx>
        <w:trPr>
          <w:cantSplit/>
          <w:trHeight w:val="285" w:hRule="atLeast"/>
        </w:trPr>
        <w:tc>
          <w:tcPr>
            <w:tcW w:w="1526"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社会组织与</w:t>
            </w:r>
            <w:r>
              <w:rPr>
                <w:rFonts w:ascii="仿宋_GB2312" w:hAnsi="宋体" w:cs="宋体"/>
                <w:color w:val="000000"/>
                <w:kern w:val="0"/>
                <w:sz w:val="24"/>
                <w:szCs w:val="24"/>
              </w:rPr>
              <w:br w:type="textWrapping"/>
            </w:r>
            <w:r>
              <w:rPr>
                <w:rFonts w:hint="eastAsia" w:ascii="仿宋_GB2312" w:hAnsi="宋体" w:cs="宋体"/>
                <w:color w:val="000000"/>
                <w:kern w:val="0"/>
                <w:sz w:val="24"/>
                <w:szCs w:val="24"/>
              </w:rPr>
              <w:t>社会工作</w:t>
            </w: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18</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每万人拥有登记注册的社会组织数（个）</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2.29</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2.8</w:t>
            </w:r>
          </w:p>
        </w:tc>
      </w:tr>
      <w:tr>
        <w:tblPrEx>
          <w:tblCellMar>
            <w:top w:w="0" w:type="dxa"/>
            <w:left w:w="108" w:type="dxa"/>
            <w:bottom w:w="0" w:type="dxa"/>
            <w:right w:w="108" w:type="dxa"/>
          </w:tblCellMar>
        </w:tblPrEx>
        <w:trPr>
          <w:cantSplit/>
          <w:trHeight w:val="285"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19</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kern w:val="0"/>
                <w:sz w:val="24"/>
                <w:szCs w:val="24"/>
              </w:rPr>
            </w:pPr>
            <w:r>
              <w:rPr>
                <w:rFonts w:hint="eastAsia" w:ascii="仿宋_GB2312" w:hAnsi="宋体" w:cs="宋体"/>
                <w:kern w:val="0"/>
                <w:sz w:val="24"/>
                <w:szCs w:val="24"/>
              </w:rPr>
              <w:t>社会组织就业人数占全区就业人口比重（</w:t>
            </w:r>
            <w:r>
              <w:rPr>
                <w:rFonts w:ascii="仿宋_GB2312" w:hAnsi="宋体" w:cs="宋体"/>
                <w:kern w:val="0"/>
                <w:sz w:val="24"/>
                <w:szCs w:val="24"/>
              </w:rPr>
              <w:t>%</w:t>
            </w:r>
            <w:r>
              <w:rPr>
                <w:rFonts w:hint="eastAsia" w:ascii="仿宋_GB2312" w:hAnsi="宋体" w:cs="宋体"/>
                <w:kern w:val="0"/>
                <w:sz w:val="24"/>
                <w:szCs w:val="24"/>
              </w:rPr>
              <w:t>）</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1.26</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1.8</w:t>
            </w:r>
          </w:p>
        </w:tc>
      </w:tr>
      <w:tr>
        <w:tblPrEx>
          <w:tblCellMar>
            <w:top w:w="0" w:type="dxa"/>
            <w:left w:w="108" w:type="dxa"/>
            <w:bottom w:w="0" w:type="dxa"/>
            <w:right w:w="108" w:type="dxa"/>
          </w:tblCellMar>
        </w:tblPrEx>
        <w:trPr>
          <w:cantSplit/>
          <w:trHeight w:val="285" w:hRule="atLeast"/>
        </w:trPr>
        <w:tc>
          <w:tcPr>
            <w:tcW w:w="1526" w:type="dxa"/>
            <w:vMerge w:val="continue"/>
            <w:tcBorders>
              <w:top w:val="nil"/>
              <w:left w:val="single" w:color="auto" w:sz="4" w:space="0"/>
              <w:bottom w:val="single" w:color="000000" w:sz="4" w:space="0"/>
              <w:right w:val="single" w:color="auto" w:sz="4"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67"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20</w:t>
            </w:r>
          </w:p>
        </w:tc>
        <w:tc>
          <w:tcPr>
            <w:tcW w:w="5106" w:type="dxa"/>
            <w:tcBorders>
              <w:top w:val="single" w:color="auto" w:sz="4" w:space="0"/>
              <w:left w:val="nil"/>
              <w:bottom w:val="single" w:color="auto" w:sz="4" w:space="0"/>
              <w:right w:val="single" w:color="auto" w:sz="4" w:space="0"/>
            </w:tcBorders>
            <w:shd w:val="clear" w:color="000000" w:fill="FFFFFF"/>
            <w:vAlign w:val="center"/>
          </w:tcPr>
          <w:p>
            <w:pPr>
              <w:widowControl/>
              <w:spacing w:line="240" w:lineRule="auto"/>
              <w:ind w:firstLine="0" w:firstLineChars="0"/>
              <w:jc w:val="left"/>
              <w:rPr>
                <w:rFonts w:ascii="仿宋_GB2312" w:hAnsi="宋体" w:cs="宋体"/>
                <w:kern w:val="0"/>
                <w:sz w:val="24"/>
                <w:szCs w:val="24"/>
              </w:rPr>
            </w:pPr>
            <w:r>
              <w:rPr>
                <w:rFonts w:hint="eastAsia" w:ascii="仿宋_GB2312" w:hAnsi="宋体" w:cs="宋体"/>
                <w:kern w:val="0"/>
                <w:sz w:val="24"/>
                <w:szCs w:val="24"/>
              </w:rPr>
              <w:t>登记注册社会工作者数量（人）</w:t>
            </w:r>
          </w:p>
        </w:tc>
        <w:tc>
          <w:tcPr>
            <w:tcW w:w="991"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30</w:t>
            </w:r>
          </w:p>
        </w:tc>
        <w:tc>
          <w:tcPr>
            <w:tcW w:w="990" w:type="dxa"/>
            <w:tcBorders>
              <w:top w:val="nil"/>
              <w:left w:val="nil"/>
              <w:bottom w:val="single" w:color="auto" w:sz="4" w:space="0"/>
              <w:right w:val="single" w:color="auto" w:sz="4" w:space="0"/>
            </w:tcBorders>
            <w:shd w:val="clear" w:color="000000" w:fill="FFFFFF"/>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700</w:t>
            </w:r>
          </w:p>
        </w:tc>
      </w:tr>
    </w:tbl>
    <w:p>
      <w:pPr>
        <w:pStyle w:val="38"/>
      </w:pPr>
      <w:bookmarkStart w:id="31" w:name="_Toc460247834"/>
      <w:bookmarkStart w:id="32" w:name="_Toc459664391"/>
      <w:bookmarkStart w:id="33" w:name="_Toc423942646"/>
      <w:bookmarkStart w:id="34" w:name="_Toc459664924"/>
      <w:r>
        <w:rPr>
          <w:rFonts w:hint="eastAsia"/>
        </w:rPr>
        <w:t>二、面临的形势</w:t>
      </w:r>
      <w:bookmarkEnd w:id="31"/>
      <w:bookmarkEnd w:id="32"/>
      <w:bookmarkEnd w:id="33"/>
      <w:bookmarkEnd w:id="34"/>
    </w:p>
    <w:p>
      <w:pPr>
        <w:pStyle w:val="39"/>
        <w:spacing w:before="156" w:after="156"/>
      </w:pPr>
      <w:bookmarkStart w:id="35" w:name="_Toc460247835"/>
      <w:r>
        <w:rPr>
          <w:rFonts w:hint="eastAsia"/>
        </w:rPr>
        <w:t>（一）新机遇</w:t>
      </w:r>
      <w:bookmarkEnd w:id="35"/>
    </w:p>
    <w:p>
      <w:pPr>
        <w:spacing w:line="600" w:lineRule="exact"/>
        <w:ind w:firstLine="480" w:firstLineChars="150"/>
        <w:rPr>
          <w:rFonts w:ascii="仿宋_GB2312" w:hAnsi="仿宋"/>
          <w:szCs w:val="32"/>
        </w:rPr>
      </w:pPr>
      <w:r>
        <w:rPr>
          <w:rFonts w:hint="eastAsia" w:ascii="仿宋_GB2312" w:hAnsi="仿宋"/>
          <w:szCs w:val="32"/>
        </w:rPr>
        <w:t>“十三五”时期是我国全面深化改革和全面建成小康社会的关键五年，是新区建设一体化、高端化、国际化宜居宜业和谐新区的关键五年，中央、市委市政府和区委区政府高度重视民生和社会建设，新区民政事业面临着重大发展机遇和一系列有力条件。第一，贯彻“四个全面”战略布局给民政发展带来了新机遇，特别是到</w:t>
      </w:r>
      <w:r>
        <w:rPr>
          <w:rFonts w:ascii="仿宋_GB2312" w:hAnsi="仿宋"/>
          <w:szCs w:val="32"/>
        </w:rPr>
        <w:t>2020</w:t>
      </w:r>
      <w:r>
        <w:rPr>
          <w:rFonts w:hint="eastAsia" w:ascii="仿宋_GB2312" w:hAnsi="仿宋"/>
          <w:szCs w:val="32"/>
        </w:rPr>
        <w:t>年全面建成小康社会这一战略部署，意味着将在政策、资金、项目等方面进一步向基本民生倾斜，必将有力推进民政改革发展。第二，“创新、协调、绿色、开放、共享”的发展理念，为在新的历史条件下推动民政事业改革发展提供了科学理论指导和行动指南。第三，北京大兴国际机场建成通航，临空经济区全面建设，使新区区位优势更加凸显、社会关注度显著提高，给持续夯实民政基础、全面助推民政发展注入了新的活力。第四，京津冀协同发展战略全面实施，全市着力推动中心城区功能疏解，为新区承接优质资源提供了宝贵机遇，为新区民政事业提供了广阔空间。</w:t>
      </w:r>
    </w:p>
    <w:p>
      <w:pPr>
        <w:pStyle w:val="39"/>
        <w:spacing w:before="156" w:after="156"/>
      </w:pPr>
      <w:bookmarkStart w:id="36" w:name="_Toc460247836"/>
      <w:r>
        <w:rPr>
          <w:rFonts w:hint="eastAsia"/>
        </w:rPr>
        <w:t>（二）新挑战</w:t>
      </w:r>
      <w:bookmarkEnd w:id="36"/>
    </w:p>
    <w:p>
      <w:pPr>
        <w:spacing w:line="600" w:lineRule="exact"/>
        <w:ind w:firstLine="480" w:firstLineChars="150"/>
        <w:rPr>
          <w:rFonts w:ascii="仿宋_GB2312" w:hAnsi="仿宋"/>
          <w:szCs w:val="32"/>
        </w:rPr>
      </w:pPr>
      <w:r>
        <w:rPr>
          <w:rFonts w:hint="eastAsia" w:ascii="仿宋_GB2312" w:hAnsi="仿宋"/>
          <w:szCs w:val="32"/>
        </w:rPr>
        <w:t>与此同时，未来五年新区面临一系列挑战。第一，经济下行压力增大将影响民政事业发展。经济发展进入新常态，经济下行压力增大，国家对基本民生投入势必受到影响；同时，经济增速放缓直接影响群众的就业和生活，对民政部门保障基本民生的能力提出挑战。第二，人均可支配收入的提高、大量常住人口的市民化，使人民群众对公共服务水平具有更高期待，民生优先已成为全社会各界共识。如何满足人民群众的新期待、推动民政事业转型升级，是新区民政部门面临的新挑战。第三，新区的农业人口占比相对较高，未来五年是新区城镇化深入发展的时期，如何既有序推进农业专业人口市民化，又加快推进农村社区建设，是新区民政部门面临的一项重要挑战。第四，大兴国际机场建设带来的拆迁安置、人口大量聚集和流动等工作将使新区民政部门面临更多考验。</w:t>
      </w:r>
    </w:p>
    <w:p>
      <w:pPr>
        <w:spacing w:line="600" w:lineRule="exact"/>
        <w:ind w:firstLine="480" w:firstLineChars="150"/>
        <w:rPr>
          <w:rFonts w:ascii="仿宋_GB2312" w:hAnsi="仿宋"/>
          <w:szCs w:val="32"/>
        </w:rPr>
      </w:pPr>
    </w:p>
    <w:p>
      <w:pPr>
        <w:spacing w:line="600" w:lineRule="exact"/>
        <w:ind w:firstLine="480" w:firstLineChars="150"/>
        <w:rPr>
          <w:rFonts w:ascii="仿宋_GB2312" w:hAnsi="仿宋"/>
          <w:szCs w:val="32"/>
        </w:rPr>
      </w:pPr>
    </w:p>
    <w:p>
      <w:pPr>
        <w:spacing w:line="600" w:lineRule="exact"/>
        <w:ind w:firstLine="480" w:firstLineChars="150"/>
        <w:rPr>
          <w:rFonts w:ascii="仿宋_GB2312" w:hAnsi="仿宋"/>
          <w:szCs w:val="32"/>
        </w:rPr>
      </w:pPr>
      <w:r>
        <w:rPr>
          <w:rFonts w:ascii="仿宋_GB2312" w:hAnsi="仿宋"/>
          <w:szCs w:val="32"/>
        </w:rPr>
        <w:t xml:space="preserve"> </w:t>
      </w:r>
    </w:p>
    <w:p>
      <w:pPr>
        <w:spacing w:line="600" w:lineRule="exact"/>
        <w:ind w:firstLine="480" w:firstLineChars="150"/>
        <w:rPr>
          <w:rFonts w:ascii="仿宋_GB2312" w:hAnsi="仿宋"/>
          <w:szCs w:val="32"/>
        </w:rPr>
      </w:pPr>
    </w:p>
    <w:p>
      <w:pPr>
        <w:spacing w:line="600" w:lineRule="exact"/>
        <w:ind w:firstLine="480" w:firstLineChars="150"/>
        <w:rPr>
          <w:rFonts w:ascii="仿宋_GB2312" w:hAnsi="仿宋"/>
          <w:szCs w:val="32"/>
        </w:rPr>
      </w:pPr>
    </w:p>
    <w:p>
      <w:pPr>
        <w:spacing w:line="600" w:lineRule="exact"/>
        <w:ind w:firstLine="198" w:firstLineChars="62"/>
        <w:rPr>
          <w:rFonts w:ascii="仿宋_GB2312" w:hAnsi="仿宋"/>
          <w:szCs w:val="32"/>
        </w:rPr>
      </w:pPr>
      <w:bookmarkStart w:id="37" w:name="_Toc423942648"/>
      <w:bookmarkStart w:id="38" w:name="_Toc459664394"/>
      <w:bookmarkStart w:id="39" w:name="_Toc459664927"/>
      <w:bookmarkStart w:id="40" w:name="_Toc459664777"/>
    </w:p>
    <w:p>
      <w:pPr>
        <w:spacing w:line="600" w:lineRule="exact"/>
        <w:ind w:firstLine="0" w:firstLineChars="0"/>
        <w:rPr>
          <w:rFonts w:ascii="仿宋_GB2312" w:hAnsi="仿宋"/>
          <w:szCs w:val="32"/>
        </w:rPr>
        <w:sectPr>
          <w:footerReference r:id="rId13" w:type="default"/>
          <w:type w:val="continuous"/>
          <w:pgSz w:w="11906" w:h="16838"/>
          <w:pgMar w:top="1440" w:right="1800" w:bottom="1440" w:left="1800" w:header="851" w:footer="992" w:gutter="0"/>
          <w:cols w:space="720" w:num="1"/>
          <w:docGrid w:type="lines" w:linePitch="312" w:charSpace="0"/>
        </w:sectPr>
      </w:pPr>
    </w:p>
    <w:p>
      <w:pPr>
        <w:pStyle w:val="43"/>
        <w:ind w:firstLine="880"/>
      </w:pPr>
      <w:bookmarkStart w:id="41" w:name="_Toc460247837"/>
      <w:r>
        <w:rPr>
          <w:rFonts w:hint="eastAsia"/>
        </w:rPr>
        <w:t>第二部分</w:t>
      </w:r>
      <w:r>
        <w:t xml:space="preserve"> </w:t>
      </w:r>
      <w:bookmarkEnd w:id="37"/>
      <w:r>
        <w:rPr>
          <w:rFonts w:hint="eastAsia"/>
        </w:rPr>
        <w:t>指导思想、基本原则和发展目标</w:t>
      </w:r>
      <w:bookmarkEnd w:id="38"/>
      <w:bookmarkEnd w:id="39"/>
      <w:bookmarkEnd w:id="40"/>
      <w:bookmarkEnd w:id="41"/>
    </w:p>
    <w:p>
      <w:pPr>
        <w:pStyle w:val="38"/>
      </w:pPr>
      <w:bookmarkStart w:id="42" w:name="_Toc460247838"/>
      <w:bookmarkStart w:id="43" w:name="_Toc423942649"/>
      <w:bookmarkStart w:id="44" w:name="_Toc459664395"/>
      <w:bookmarkStart w:id="45" w:name="_Toc459664928"/>
      <w:r>
        <w:rPr>
          <w:rFonts w:hint="eastAsia"/>
        </w:rPr>
        <w:t>一、指导思想</w:t>
      </w:r>
      <w:bookmarkEnd w:id="42"/>
      <w:bookmarkEnd w:id="43"/>
      <w:bookmarkEnd w:id="44"/>
      <w:bookmarkEnd w:id="45"/>
      <w:r>
        <w:t xml:space="preserve"> </w:t>
      </w:r>
    </w:p>
    <w:p>
      <w:pPr>
        <w:ind w:firstLine="640"/>
      </w:pPr>
      <w:r>
        <w:rPr>
          <w:rFonts w:hint="eastAsia"/>
        </w:rPr>
        <w:t>全面贯彻党的十八大，十八届三中、四中、五中全会精神，以马克思列宁主义、毛泽东思想、</w:t>
      </w:r>
      <w:r>
        <w:t xml:space="preserve"> </w:t>
      </w:r>
      <w:r>
        <w:rPr>
          <w:rFonts w:hint="eastAsia"/>
        </w:rPr>
        <w:t>邓小平理论、</w:t>
      </w:r>
      <w:r>
        <w:rPr>
          <w:rFonts w:ascii="µÈÏß Western" w:hAnsi="µÈÏß Western"/>
        </w:rPr>
        <w:t>“</w:t>
      </w:r>
      <w:r>
        <w:rPr>
          <w:rFonts w:hint="eastAsia"/>
        </w:rPr>
        <w:t>三个代表”重要思想、科学发展观为指导，深入贯彻习近平总书记系列</w:t>
      </w:r>
      <w:r>
        <w:rPr>
          <w:rFonts w:hint="eastAsia"/>
          <w:lang w:val="en-US" w:eastAsia="zh-CN"/>
        </w:rPr>
        <w:t>重要</w:t>
      </w:r>
      <w:bookmarkStart w:id="308" w:name="_GoBack"/>
      <w:bookmarkEnd w:id="308"/>
      <w:r>
        <w:rPr>
          <w:rFonts w:hint="eastAsia"/>
        </w:rPr>
        <w:t>讲话精神，牢固树立“创新、协调、绿色、开放、共享”发展理念，立足首都“四个中心”的战略定位和新区“五区定位”，认真落实市委市政府、区委区政府决策部署，主动适应新常态，全面深化民政事业改革，转变民政事业发展方式，发挥好民政在</w:t>
      </w:r>
      <w:r>
        <w:rPr>
          <w:rFonts w:hint="eastAsia" w:cs="宋体"/>
          <w:kern w:val="0"/>
        </w:rPr>
        <w:t>持续改善民生中的保障作用、</w:t>
      </w:r>
      <w:r>
        <w:rPr>
          <w:rFonts w:hint="eastAsia"/>
        </w:rPr>
        <w:t>在社会治理中的骨干作用、在国防建设中的支持作用和</w:t>
      </w:r>
      <w:r>
        <w:rPr>
          <w:rFonts w:hint="eastAsia" w:cs="宋体"/>
          <w:kern w:val="0"/>
        </w:rPr>
        <w:t>在</w:t>
      </w:r>
      <w:r>
        <w:rPr>
          <w:rFonts w:hint="eastAsia"/>
        </w:rPr>
        <w:t>服务新区中的职能作用，按照“巩固兜底保障，发展积极民生，激励多元参与，促进协同发展”的思路，全面推进民政社会化、产业化、信息化、体系化发展，开创</w:t>
      </w:r>
      <w:r>
        <w:rPr>
          <w:rFonts w:hint="eastAsia" w:cs="宋体"/>
          <w:kern w:val="0"/>
        </w:rPr>
        <w:t>“开放、创新、服务、法治、高效”民政工作新局面。在建设一体化、高端化、国际化的宜居宜业和谐新区的过程中发挥更大作用。</w:t>
      </w:r>
    </w:p>
    <w:p>
      <w:pPr>
        <w:pStyle w:val="38"/>
      </w:pPr>
      <w:bookmarkStart w:id="46" w:name="_Toc459664396"/>
      <w:bookmarkStart w:id="47" w:name="_Toc459664929"/>
      <w:bookmarkStart w:id="48" w:name="_Toc423942651"/>
      <w:bookmarkStart w:id="49" w:name="_Toc460247839"/>
      <w:r>
        <w:rPr>
          <w:rFonts w:hint="eastAsia"/>
        </w:rPr>
        <w:t>二、基本原则</w:t>
      </w:r>
      <w:bookmarkEnd w:id="46"/>
      <w:bookmarkEnd w:id="47"/>
      <w:bookmarkEnd w:id="48"/>
      <w:bookmarkEnd w:id="49"/>
      <w:r>
        <w:t xml:space="preserve"> </w:t>
      </w:r>
    </w:p>
    <w:p>
      <w:pPr>
        <w:pStyle w:val="39"/>
        <w:spacing w:before="156" w:after="156"/>
      </w:pPr>
      <w:bookmarkStart w:id="50" w:name="_Toc459664930"/>
      <w:bookmarkStart w:id="51" w:name="_Toc460247840"/>
      <w:bookmarkStart w:id="52" w:name="_Toc459664397"/>
      <w:r>
        <w:rPr>
          <w:rFonts w:hint="eastAsia"/>
        </w:rPr>
        <w:t>（一）坚持改革引领、创新驱动</w:t>
      </w:r>
      <w:bookmarkEnd w:id="50"/>
      <w:bookmarkEnd w:id="51"/>
      <w:bookmarkEnd w:id="52"/>
    </w:p>
    <w:p>
      <w:pPr>
        <w:spacing w:line="600" w:lineRule="exact"/>
        <w:ind w:firstLine="640"/>
      </w:pPr>
      <w:r>
        <w:rPr>
          <w:rFonts w:hint="eastAsia"/>
        </w:rPr>
        <w:t>把改革创新作为民政事业发展的第一动力，用改革创新的办法破解民政发展难题。推动工作理念的转变，不断打破传统工作理念和模式的束缚。全面深化民政事业改革，加快民政社会化、产业化、信息化、体系化步伐。积极推动民政自身改革，提升民政工作的效率。创新民政体制和机制，激发民政工作的动力、活力和竞争力。</w:t>
      </w:r>
    </w:p>
    <w:p>
      <w:pPr>
        <w:pStyle w:val="39"/>
        <w:spacing w:before="156" w:after="156"/>
      </w:pPr>
      <w:bookmarkStart w:id="53" w:name="_Toc460247841"/>
      <w:bookmarkStart w:id="54" w:name="_Toc459664931"/>
      <w:bookmarkStart w:id="55" w:name="_Toc459664398"/>
      <w:r>
        <w:rPr>
          <w:rFonts w:hint="eastAsia"/>
        </w:rPr>
        <w:t>（二）坚持保障基本、适度普惠</w:t>
      </w:r>
      <w:bookmarkEnd w:id="53"/>
      <w:bookmarkEnd w:id="54"/>
      <w:bookmarkEnd w:id="55"/>
    </w:p>
    <w:p>
      <w:pPr>
        <w:spacing w:line="600" w:lineRule="exact"/>
        <w:ind w:firstLine="640"/>
      </w:pPr>
      <w:r>
        <w:rPr>
          <w:rFonts w:hint="eastAsia"/>
        </w:rPr>
        <w:t>强化民政的基本保障功能，保障困难群体、优抚群体、孤老孤残孤儿等特殊群体的基本生活，兜住民生底线。积极回应群众关切，不断扩大社会救助、社会福利、优抚安置等保障范围，努力提升保障水平，在财力可持续基础上，推动建立与新区经济社会发展水平相适应的、可持续的适度普惠的民生保障制度。</w:t>
      </w:r>
    </w:p>
    <w:p>
      <w:pPr>
        <w:pStyle w:val="39"/>
        <w:spacing w:before="156" w:after="156"/>
      </w:pPr>
      <w:bookmarkStart w:id="56" w:name="_Toc459664399"/>
      <w:bookmarkStart w:id="57" w:name="_Toc460247842"/>
      <w:bookmarkStart w:id="58" w:name="_Toc459664932"/>
      <w:r>
        <w:rPr>
          <w:rFonts w:hint="eastAsia"/>
        </w:rPr>
        <w:t>（三）坚持政府主导，多方参与</w:t>
      </w:r>
      <w:bookmarkEnd w:id="56"/>
      <w:bookmarkEnd w:id="57"/>
      <w:bookmarkEnd w:id="58"/>
    </w:p>
    <w:p>
      <w:pPr>
        <w:spacing w:line="600" w:lineRule="exact"/>
        <w:ind w:firstLine="640"/>
      </w:pPr>
      <w:r>
        <w:rPr>
          <w:rFonts w:hint="eastAsia"/>
        </w:rPr>
        <w:t>充分认识和厘清政府、市场、社会力量在民政事业发展中的职能作用，全面放开民政工作领域，推进民政事业社会化，调动和扶持多元社会主体参与基层社会治理和和社区公共服务，推动社会协同和资源整合，构建全民共建共享的发展格局。</w:t>
      </w:r>
    </w:p>
    <w:p>
      <w:pPr>
        <w:pStyle w:val="39"/>
        <w:spacing w:before="156" w:after="156"/>
      </w:pPr>
      <w:bookmarkStart w:id="59" w:name="_Toc459664933"/>
      <w:bookmarkStart w:id="60" w:name="_Toc460247843"/>
      <w:bookmarkStart w:id="61" w:name="_Toc459664400"/>
      <w:r>
        <w:rPr>
          <w:rFonts w:hint="eastAsia"/>
        </w:rPr>
        <w:t>（四）坚持城乡协调、区域协同</w:t>
      </w:r>
      <w:bookmarkEnd w:id="59"/>
      <w:bookmarkEnd w:id="60"/>
      <w:bookmarkEnd w:id="61"/>
    </w:p>
    <w:p>
      <w:pPr>
        <w:spacing w:line="600" w:lineRule="exact"/>
        <w:ind w:firstLine="640"/>
      </w:pPr>
      <w:r>
        <w:rPr>
          <w:rFonts w:hint="eastAsia"/>
        </w:rPr>
        <w:t>坚持民政工作城乡协调发展，促进民政资源均衡配置，加大对农村地区民政公共服务设施的投入，把资金、项目、设施向农村地区和接纳农业转移人口较多的城镇倾斜，推动城镇民政公共服务向农村延伸。立足京津冀优势互补，推动京津冀三地民政在政策、资源、人才和设施等方面的衔接，实现三地民政事业深度融合、协同发展。</w:t>
      </w:r>
    </w:p>
    <w:p>
      <w:pPr>
        <w:pStyle w:val="39"/>
        <w:spacing w:before="156" w:after="156"/>
      </w:pPr>
      <w:bookmarkStart w:id="62" w:name="_Toc459664934"/>
      <w:bookmarkStart w:id="63" w:name="_Toc459664401"/>
      <w:bookmarkStart w:id="64" w:name="_Toc460247844"/>
      <w:r>
        <w:rPr>
          <w:rFonts w:hint="eastAsia"/>
        </w:rPr>
        <w:t>（五）坚持依法行政、道德支撑</w:t>
      </w:r>
      <w:bookmarkEnd w:id="62"/>
      <w:bookmarkEnd w:id="63"/>
      <w:bookmarkEnd w:id="64"/>
    </w:p>
    <w:p>
      <w:pPr>
        <w:overflowPunct w:val="0"/>
        <w:adjustRightInd w:val="0"/>
        <w:snapToGrid w:val="0"/>
        <w:spacing w:line="600" w:lineRule="exact"/>
        <w:ind w:firstLine="640"/>
      </w:pPr>
      <w:r>
        <w:rPr>
          <w:rFonts w:hint="eastAsia"/>
        </w:rPr>
        <w:t>深入贯彻依法治国基本方略，坚持学法、执法、守法、普法一体化建设，发挥法治的引领和规范作用，用法治思维和法治方式推进民政工作，实现新区民政事业在法治轨道上健康发展。结合社会主义核心价值观，深入挖掘和弘扬民政工作的道德内涵，增强人们的公德意识、责任意识。</w:t>
      </w:r>
    </w:p>
    <w:p>
      <w:pPr>
        <w:pStyle w:val="38"/>
      </w:pPr>
      <w:bookmarkStart w:id="65" w:name="_Toc460247845"/>
      <w:bookmarkStart w:id="66" w:name="_Toc459664402"/>
      <w:bookmarkStart w:id="67" w:name="_Toc459664935"/>
      <w:r>
        <w:rPr>
          <w:rFonts w:hint="eastAsia"/>
        </w:rPr>
        <w:t>三、发展目标</w:t>
      </w:r>
      <w:bookmarkEnd w:id="65"/>
      <w:bookmarkEnd w:id="66"/>
      <w:bookmarkEnd w:id="67"/>
    </w:p>
    <w:p>
      <w:pPr>
        <w:pStyle w:val="34"/>
        <w:spacing w:line="600" w:lineRule="exact"/>
        <w:ind w:firstLine="480"/>
        <w:rPr>
          <w:rFonts w:ascii="等线" w:hAnsi="等线" w:eastAsia="仿宋_GB2312" w:cs="Times New Roman"/>
          <w:color w:val="auto"/>
          <w:sz w:val="32"/>
          <w:szCs w:val="22"/>
        </w:rPr>
      </w:pPr>
      <w:r>
        <w:rPr>
          <w:rFonts w:hint="eastAsia" w:ascii="等线" w:hAnsi="等线" w:eastAsia="仿宋_GB2312" w:cs="Times New Roman"/>
          <w:color w:val="auto"/>
          <w:sz w:val="32"/>
          <w:szCs w:val="22"/>
        </w:rPr>
        <w:t>“十三五”时期，新区民政和社会福利事业发展的总目标是：到</w:t>
      </w:r>
      <w:r>
        <w:rPr>
          <w:rFonts w:ascii="等线" w:hAnsi="等线" w:eastAsia="仿宋_GB2312" w:cs="Times New Roman"/>
          <w:color w:val="auto"/>
          <w:sz w:val="32"/>
          <w:szCs w:val="22"/>
        </w:rPr>
        <w:t>2020</w:t>
      </w:r>
      <w:r>
        <w:rPr>
          <w:rFonts w:hint="eastAsia" w:ascii="等线" w:hAnsi="等线" w:eastAsia="仿宋_GB2312" w:cs="Times New Roman"/>
          <w:color w:val="auto"/>
          <w:sz w:val="32"/>
          <w:szCs w:val="22"/>
        </w:rPr>
        <w:t>年，适应首都功能定位和新区“五区定位”的要求，基本民生保障体系不断完善，民生保障能力明显增强，民政公共服务均等化程度进一步提高，构建具有新区特色的多层次养老服务体系，基层社会治理水平显著提高，服务国防和军队现代化建设更加有力，提供专项社会事务管理服务更加有效，形成高效顺畅的民政体制机制，构建与新区经济社会发展水平相适应的现代化民政事业发展格局，让新区人民群众有更多获得感和幸福感。</w:t>
      </w:r>
    </w:p>
    <w:p>
      <w:pPr>
        <w:pStyle w:val="39"/>
        <w:spacing w:before="156" w:after="156"/>
      </w:pPr>
      <w:bookmarkStart w:id="68" w:name="_Toc459664405"/>
      <w:bookmarkStart w:id="69" w:name="_Toc459664938"/>
      <w:bookmarkStart w:id="70" w:name="_Toc460247846"/>
      <w:r>
        <w:rPr>
          <w:rFonts w:hint="eastAsia"/>
        </w:rPr>
        <w:t>（一）</w:t>
      </w:r>
      <w:bookmarkEnd w:id="68"/>
      <w:bookmarkEnd w:id="69"/>
      <w:r>
        <w:rPr>
          <w:rFonts w:hint="eastAsia"/>
        </w:rPr>
        <w:t>形成高效顺畅的民政体制机制</w:t>
      </w:r>
      <w:bookmarkEnd w:id="70"/>
    </w:p>
    <w:p>
      <w:pPr>
        <w:pStyle w:val="34"/>
        <w:spacing w:line="600" w:lineRule="exact"/>
        <w:ind w:firstLine="480"/>
        <w:rPr>
          <w:rFonts w:ascii="等线" w:hAnsi="等线" w:eastAsia="仿宋_GB2312" w:cs="Times New Roman"/>
          <w:color w:val="auto"/>
          <w:sz w:val="32"/>
          <w:szCs w:val="22"/>
        </w:rPr>
      </w:pPr>
      <w:r>
        <w:rPr>
          <w:rFonts w:hint="eastAsia" w:ascii="等线" w:hAnsi="等线" w:eastAsia="仿宋_GB2312" w:cs="Times New Roman"/>
          <w:color w:val="auto"/>
          <w:sz w:val="32"/>
          <w:szCs w:val="22"/>
        </w:rPr>
        <w:t>民政部门职能转变基本到位，机构设置不断优化，职责分工更加明确，体制机制、模式和方式实现深刻变革，整个系统的组织决策、统筹规划、工作运行效能得到显著提升，形成结构合理、职能清晰、运转顺畅、科学高效的民政工作体系。</w:t>
      </w:r>
    </w:p>
    <w:p>
      <w:pPr>
        <w:pStyle w:val="39"/>
        <w:spacing w:before="156" w:after="156"/>
        <w:rPr>
          <w:rFonts w:ascii="仿宋" w:hAnsi="仿宋" w:eastAsia="仿宋" w:cs="宋体"/>
          <w:kern w:val="0"/>
        </w:rPr>
      </w:pPr>
      <w:bookmarkStart w:id="71" w:name="_Toc459664403"/>
      <w:bookmarkStart w:id="72" w:name="_Toc459664936"/>
      <w:bookmarkStart w:id="73" w:name="_Toc460247847"/>
      <w:r>
        <w:rPr>
          <w:rFonts w:hint="eastAsia"/>
        </w:rPr>
        <w:t>（二）构建普惠均等的民生保障格局</w:t>
      </w:r>
      <w:bookmarkEnd w:id="71"/>
      <w:bookmarkEnd w:id="72"/>
      <w:bookmarkEnd w:id="73"/>
    </w:p>
    <w:p>
      <w:pPr>
        <w:pStyle w:val="34"/>
        <w:spacing w:line="600" w:lineRule="exact"/>
        <w:ind w:firstLine="480"/>
        <w:rPr>
          <w:rFonts w:ascii="等线" w:hAnsi="等线" w:eastAsia="仿宋_GB2312" w:cs="Times New Roman"/>
          <w:color w:val="auto"/>
          <w:sz w:val="32"/>
          <w:szCs w:val="22"/>
        </w:rPr>
      </w:pPr>
      <w:r>
        <w:rPr>
          <w:rFonts w:hint="eastAsia" w:ascii="等线" w:hAnsi="等线" w:eastAsia="仿宋_GB2312" w:cs="Times New Roman"/>
          <w:color w:val="auto"/>
          <w:sz w:val="32"/>
          <w:szCs w:val="22"/>
        </w:rPr>
        <w:t>不断完善社会救助体系、多层次养老服务体系、残疾人服务保障体系、儿童服务保障体系和优抚安置对象服务系统，最终建成覆盖城乡、水平适当、适度普惠和均等化的基本民生保障体系和种类齐全、品种多样、供给充足的民政社会服务体系，使新区的基本民生保障能力明显增强。全面放开新区民政服务领域和市场，推动民政服务的社会化和产业化，培育壮大养老、社区、殡葬等民政服务产业，使其初具规模，形成一批知名品牌。</w:t>
      </w:r>
    </w:p>
    <w:p>
      <w:pPr>
        <w:pStyle w:val="39"/>
        <w:spacing w:before="156" w:after="156"/>
      </w:pPr>
      <w:bookmarkStart w:id="74" w:name="_Toc459664937"/>
      <w:bookmarkStart w:id="75" w:name="_Toc459664404"/>
      <w:bookmarkStart w:id="76" w:name="_Toc460247848"/>
      <w:r>
        <w:rPr>
          <w:rFonts w:hint="eastAsia"/>
        </w:rPr>
        <w:t>（三）</w:t>
      </w:r>
      <w:bookmarkEnd w:id="74"/>
      <w:bookmarkEnd w:id="75"/>
      <w:r>
        <w:rPr>
          <w:rFonts w:hint="eastAsia"/>
        </w:rPr>
        <w:t>实现民政社会治理的现代化</w:t>
      </w:r>
      <w:bookmarkEnd w:id="76"/>
    </w:p>
    <w:p>
      <w:pPr>
        <w:pStyle w:val="34"/>
        <w:spacing w:line="600" w:lineRule="exact"/>
        <w:ind w:firstLine="480"/>
        <w:rPr>
          <w:rFonts w:ascii="等线" w:hAnsi="等线" w:eastAsia="仿宋_GB2312" w:cs="Times New Roman"/>
          <w:color w:val="auto"/>
          <w:sz w:val="32"/>
          <w:szCs w:val="22"/>
        </w:rPr>
      </w:pPr>
      <w:r>
        <w:rPr>
          <w:rFonts w:hint="eastAsia" w:ascii="等线" w:hAnsi="等线" w:eastAsia="仿宋_GB2312" w:cs="Times New Roman"/>
          <w:color w:val="auto"/>
          <w:sz w:val="32"/>
          <w:szCs w:val="22"/>
        </w:rPr>
        <w:t>全面树立现代社会治理理念。深化社会组织管理体制改革，建立社会组织混合型登记体制，创新社会组织培育扶持方式，构建对社会组织的综合监管体系。完善基层社会治理，基层群众自治机制更有活力，社区建设和社区治理服务水平不断提升。发挥专业社会工作人才在社会治理中的主体性作用，推动形成跨城乡、多领域和多人群的专业社会工作服务体系。大力发展社区志愿者队伍，营造志愿服务发展的良好环境。不断推动“三社联动”，基本形成现代化的、全民共建共享的社会治理格局。</w:t>
      </w:r>
    </w:p>
    <w:p>
      <w:pPr>
        <w:pStyle w:val="39"/>
        <w:spacing w:before="156" w:after="156"/>
      </w:pPr>
      <w:bookmarkStart w:id="77" w:name="_Toc459664406"/>
      <w:bookmarkStart w:id="78" w:name="_Toc459664939"/>
      <w:bookmarkStart w:id="79" w:name="_Toc460247849"/>
      <w:r>
        <w:rPr>
          <w:rFonts w:hint="eastAsia"/>
        </w:rPr>
        <w:t>（四）</w:t>
      </w:r>
      <w:bookmarkEnd w:id="77"/>
      <w:bookmarkEnd w:id="78"/>
      <w:r>
        <w:rPr>
          <w:rFonts w:hint="eastAsia"/>
        </w:rPr>
        <w:t>建成新区特色的法治民政</w:t>
      </w:r>
      <w:bookmarkEnd w:id="79"/>
    </w:p>
    <w:p>
      <w:pPr>
        <w:pStyle w:val="34"/>
        <w:spacing w:line="600" w:lineRule="exact"/>
        <w:ind w:firstLine="480"/>
        <w:rPr>
          <w:rFonts w:ascii="等线" w:hAnsi="等线" w:eastAsia="仿宋_GB2312" w:cs="Times New Roman"/>
          <w:color w:val="auto"/>
          <w:sz w:val="32"/>
          <w:szCs w:val="22"/>
        </w:rPr>
      </w:pPr>
      <w:bookmarkStart w:id="80" w:name="_Toc423942652"/>
      <w:r>
        <w:rPr>
          <w:rFonts w:hint="eastAsia" w:ascii="等线" w:hAnsi="等线" w:eastAsia="仿宋_GB2312" w:cs="Times New Roman"/>
          <w:color w:val="auto"/>
          <w:sz w:val="32"/>
          <w:szCs w:val="22"/>
        </w:rPr>
        <w:t>全面推进法治民政建设，牢固树立法治思维意识，加强法制宣传工作，及时制定和定期清理配套行政规范性文件，推动依法公开高效行政，建立民政权力、责任清单，做到权责统一，大力加强民政法治队伍建设，强化法治监督机制，推进法治民政工作落实。到</w:t>
      </w:r>
      <w:r>
        <w:rPr>
          <w:rFonts w:ascii="等线" w:hAnsi="等线" w:eastAsia="仿宋_GB2312" w:cs="Times New Roman"/>
          <w:color w:val="auto"/>
          <w:sz w:val="32"/>
          <w:szCs w:val="22"/>
        </w:rPr>
        <w:t>2020</w:t>
      </w:r>
      <w:r>
        <w:rPr>
          <w:rFonts w:hint="eastAsia" w:ascii="等线" w:hAnsi="等线" w:eastAsia="仿宋_GB2312" w:cs="Times New Roman"/>
          <w:color w:val="auto"/>
          <w:sz w:val="32"/>
          <w:szCs w:val="22"/>
        </w:rPr>
        <w:t>年，基本形成完善的民政政策法规体系、民政法治实施体系、民政法治监督体系和民政法治保障体系。</w:t>
      </w:r>
    </w:p>
    <w:p>
      <w:pPr>
        <w:pStyle w:val="34"/>
        <w:spacing w:line="600" w:lineRule="exact"/>
        <w:ind w:firstLine="480"/>
        <w:rPr>
          <w:rFonts w:ascii="等线" w:hAnsi="等线" w:eastAsia="仿宋_GB2312" w:cs="Times New Roman"/>
          <w:color w:val="auto"/>
          <w:sz w:val="32"/>
          <w:szCs w:val="22"/>
        </w:rPr>
      </w:pPr>
    </w:p>
    <w:p>
      <w:pPr>
        <w:pStyle w:val="34"/>
        <w:spacing w:line="600" w:lineRule="exact"/>
        <w:ind w:firstLine="480"/>
        <w:rPr>
          <w:rFonts w:ascii="等线" w:hAnsi="等线" w:eastAsia="仿宋_GB2312" w:cs="Times New Roman"/>
          <w:color w:val="auto"/>
          <w:sz w:val="32"/>
          <w:szCs w:val="22"/>
        </w:rPr>
      </w:pPr>
    </w:p>
    <w:p>
      <w:pPr>
        <w:pStyle w:val="34"/>
        <w:spacing w:line="600" w:lineRule="exact"/>
        <w:ind w:firstLine="480"/>
        <w:rPr>
          <w:rFonts w:ascii="等线" w:hAnsi="等线" w:eastAsia="仿宋_GB2312" w:cs="Times New Roman"/>
          <w:color w:val="auto"/>
          <w:sz w:val="32"/>
          <w:szCs w:val="22"/>
        </w:rPr>
      </w:pPr>
    </w:p>
    <w:p>
      <w:pPr>
        <w:pStyle w:val="34"/>
        <w:spacing w:line="600" w:lineRule="exact"/>
        <w:ind w:firstLine="480"/>
        <w:rPr>
          <w:rFonts w:ascii="等线" w:hAnsi="等线" w:eastAsia="仿宋_GB2312" w:cs="Times New Roman"/>
          <w:color w:val="auto"/>
          <w:sz w:val="32"/>
          <w:szCs w:val="22"/>
        </w:rPr>
      </w:pPr>
    </w:p>
    <w:p>
      <w:pPr>
        <w:pStyle w:val="34"/>
        <w:spacing w:line="600" w:lineRule="exact"/>
        <w:ind w:firstLine="480"/>
        <w:rPr>
          <w:rFonts w:ascii="等线" w:hAnsi="等线" w:eastAsia="仿宋_GB2312" w:cs="Times New Roman"/>
          <w:color w:val="auto"/>
          <w:sz w:val="32"/>
          <w:szCs w:val="22"/>
        </w:rPr>
      </w:pPr>
    </w:p>
    <w:p>
      <w:pPr>
        <w:pStyle w:val="34"/>
        <w:spacing w:line="600" w:lineRule="exact"/>
        <w:ind w:firstLine="480"/>
        <w:rPr>
          <w:rFonts w:ascii="等线" w:hAnsi="等线" w:eastAsia="仿宋_GB2312" w:cs="Times New Roman"/>
          <w:color w:val="auto"/>
          <w:sz w:val="32"/>
          <w:szCs w:val="22"/>
        </w:rPr>
      </w:pPr>
    </w:p>
    <w:p>
      <w:pPr>
        <w:ind w:firstLine="643"/>
        <w:jc w:val="center"/>
        <w:rPr>
          <w:rFonts w:ascii="楷体_GB2312" w:eastAsia="楷体_GB2312"/>
          <w:b/>
        </w:rPr>
      </w:pPr>
      <w:bookmarkStart w:id="81" w:name="_Toc459664940"/>
      <w:bookmarkStart w:id="82" w:name="_Toc459664407"/>
      <w:r>
        <w:rPr>
          <w:rFonts w:hint="eastAsia" w:ascii="楷体_GB2312" w:eastAsia="楷体_GB2312"/>
          <w:b/>
        </w:rPr>
        <w:t>“十三五”时期新区民政事业发展主要指标</w:t>
      </w:r>
      <w:bookmarkEnd w:id="81"/>
      <w:bookmarkEnd w:id="82"/>
    </w:p>
    <w:tbl>
      <w:tblPr>
        <w:tblStyle w:val="18"/>
        <w:tblW w:w="8756" w:type="dxa"/>
        <w:tblInd w:w="0" w:type="dxa"/>
        <w:tblLayout w:type="fixed"/>
        <w:tblCellMar>
          <w:top w:w="0" w:type="dxa"/>
          <w:left w:w="108" w:type="dxa"/>
          <w:bottom w:w="0" w:type="dxa"/>
          <w:right w:w="108" w:type="dxa"/>
        </w:tblCellMar>
      </w:tblPr>
      <w:tblGrid>
        <w:gridCol w:w="959"/>
        <w:gridCol w:w="590"/>
        <w:gridCol w:w="4797"/>
        <w:gridCol w:w="1403"/>
        <w:gridCol w:w="1007"/>
      </w:tblGrid>
      <w:tr>
        <w:tblPrEx>
          <w:tblCellMar>
            <w:top w:w="0" w:type="dxa"/>
            <w:left w:w="108" w:type="dxa"/>
            <w:bottom w:w="0" w:type="dxa"/>
            <w:right w:w="108" w:type="dxa"/>
          </w:tblCellMar>
        </w:tblPrEx>
        <w:trPr>
          <w:trHeight w:val="300" w:hRule="atLeast"/>
        </w:trPr>
        <w:tc>
          <w:tcPr>
            <w:tcW w:w="959" w:type="dxa"/>
            <w:tcBorders>
              <w:top w:val="single" w:color="auto" w:sz="8" w:space="0"/>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bookmarkStart w:id="83" w:name="_Toc459664408"/>
            <w:bookmarkStart w:id="84" w:name="_Toc459664778"/>
            <w:bookmarkStart w:id="85" w:name="_Toc459664941"/>
            <w:r>
              <w:rPr>
                <w:rFonts w:hint="eastAsia" w:ascii="仿宋_GB2312" w:hAnsi="宋体" w:cs="宋体"/>
                <w:color w:val="000000"/>
                <w:kern w:val="0"/>
                <w:sz w:val="24"/>
                <w:szCs w:val="24"/>
              </w:rPr>
              <w:t>类别</w:t>
            </w:r>
          </w:p>
        </w:tc>
        <w:tc>
          <w:tcPr>
            <w:tcW w:w="590" w:type="dxa"/>
            <w:tcBorders>
              <w:top w:val="single" w:color="auto" w:sz="8"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序号</w:t>
            </w:r>
          </w:p>
        </w:tc>
        <w:tc>
          <w:tcPr>
            <w:tcW w:w="4797" w:type="dxa"/>
            <w:tcBorders>
              <w:top w:val="single" w:color="auto" w:sz="8"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指</w:t>
            </w:r>
            <w:r>
              <w:rPr>
                <w:rFonts w:ascii="仿宋_GB2312" w:hAnsi="宋体" w:cs="宋体"/>
                <w:color w:val="000000"/>
                <w:kern w:val="0"/>
                <w:sz w:val="24"/>
                <w:szCs w:val="24"/>
              </w:rPr>
              <w:t xml:space="preserve">  </w:t>
            </w:r>
            <w:r>
              <w:rPr>
                <w:rFonts w:hint="eastAsia" w:ascii="仿宋_GB2312" w:hAnsi="宋体" w:cs="宋体"/>
                <w:color w:val="000000"/>
                <w:kern w:val="0"/>
                <w:sz w:val="24"/>
                <w:szCs w:val="24"/>
              </w:rPr>
              <w:t>标</w:t>
            </w:r>
          </w:p>
        </w:tc>
        <w:tc>
          <w:tcPr>
            <w:tcW w:w="1403" w:type="dxa"/>
            <w:tcBorders>
              <w:top w:val="single" w:color="auto" w:sz="8"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2015</w:t>
            </w:r>
            <w:r>
              <w:rPr>
                <w:rFonts w:hint="eastAsia" w:ascii="仿宋_GB2312" w:hAnsi="宋体" w:cs="宋体"/>
                <w:color w:val="000000"/>
                <w:kern w:val="0"/>
                <w:sz w:val="24"/>
                <w:szCs w:val="24"/>
              </w:rPr>
              <w:t>年</w:t>
            </w:r>
          </w:p>
        </w:tc>
        <w:tc>
          <w:tcPr>
            <w:tcW w:w="1007" w:type="dxa"/>
            <w:tcBorders>
              <w:top w:val="single" w:color="auto" w:sz="8"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2020</w:t>
            </w:r>
            <w:r>
              <w:rPr>
                <w:rFonts w:hint="eastAsia" w:ascii="仿宋_GB2312" w:hAnsi="宋体" w:cs="宋体"/>
                <w:color w:val="000000"/>
                <w:kern w:val="0"/>
                <w:sz w:val="24"/>
                <w:szCs w:val="24"/>
              </w:rPr>
              <w:t>年</w:t>
            </w:r>
          </w:p>
        </w:tc>
      </w:tr>
      <w:tr>
        <w:tblPrEx>
          <w:tblCellMar>
            <w:top w:w="0" w:type="dxa"/>
            <w:left w:w="108" w:type="dxa"/>
            <w:bottom w:w="0" w:type="dxa"/>
            <w:right w:w="108" w:type="dxa"/>
          </w:tblCellMar>
        </w:tblPrEx>
        <w:trPr>
          <w:trHeight w:val="300"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民</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生</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福</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利</w:t>
            </w: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城乡低保标准年均增长率（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10.55</w:t>
            </w:r>
            <w:r>
              <w:rPr>
                <w:rFonts w:hint="eastAsia" w:ascii="仿宋_GB2312" w:hAnsi="宋体" w:cs="宋体"/>
                <w:color w:val="000000"/>
                <w:kern w:val="0"/>
                <w:sz w:val="24"/>
                <w:szCs w:val="24"/>
              </w:rPr>
              <w:t>、</w:t>
            </w:r>
            <w:r>
              <w:rPr>
                <w:rFonts w:ascii="仿宋_GB2312" w:hAnsi="宋体" w:cs="宋体"/>
                <w:color w:val="000000"/>
                <w:kern w:val="0"/>
                <w:sz w:val="24"/>
                <w:szCs w:val="24"/>
              </w:rPr>
              <w:t>26.12</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享受福利保障儿童占户籍儿童人口比重（</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0.8</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6</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每千名户籍老人养老机构床位数</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18.2</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40</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4</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护养型床位占总床位数的比例（</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70</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5</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养老机构床位使用率（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58</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80</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6</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养老护理员队伍总量（万）</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0.05</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3</w:t>
            </w:r>
          </w:p>
        </w:tc>
      </w:tr>
      <w:tr>
        <w:tblPrEx>
          <w:tblCellMar>
            <w:top w:w="0" w:type="dxa"/>
            <w:left w:w="108" w:type="dxa"/>
            <w:bottom w:w="0" w:type="dxa"/>
            <w:right w:w="108" w:type="dxa"/>
          </w:tblCellMar>
        </w:tblPrEx>
        <w:trPr>
          <w:trHeight w:val="285"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社</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会</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参</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与</w:t>
            </w:r>
          </w:p>
        </w:tc>
        <w:tc>
          <w:tcPr>
            <w:tcW w:w="590" w:type="dxa"/>
            <w:tcBorders>
              <w:top w:val="nil"/>
              <w:left w:val="nil"/>
              <w:bottom w:val="single" w:color="auto" w:sz="4"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7</w:t>
            </w:r>
          </w:p>
        </w:tc>
        <w:tc>
          <w:tcPr>
            <w:tcW w:w="4797" w:type="dxa"/>
            <w:tcBorders>
              <w:top w:val="nil"/>
              <w:left w:val="nil"/>
              <w:bottom w:val="single" w:color="auto" w:sz="4"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r>
              <w:rPr>
                <w:rFonts w:hint="eastAsia" w:ascii="仿宋_GB2312" w:hAnsi="宋体" w:cs="宋体"/>
                <w:color w:val="000000"/>
                <w:kern w:val="0"/>
                <w:sz w:val="24"/>
                <w:szCs w:val="24"/>
              </w:rPr>
              <w:t>每万人社会组织数（个）</w:t>
            </w:r>
          </w:p>
        </w:tc>
        <w:tc>
          <w:tcPr>
            <w:tcW w:w="1403" w:type="dxa"/>
            <w:tcBorders>
              <w:top w:val="nil"/>
              <w:left w:val="nil"/>
              <w:bottom w:val="single" w:color="auto" w:sz="4"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2.8</w:t>
            </w:r>
          </w:p>
        </w:tc>
        <w:tc>
          <w:tcPr>
            <w:tcW w:w="1007" w:type="dxa"/>
            <w:tcBorders>
              <w:top w:val="nil"/>
              <w:left w:val="nil"/>
              <w:bottom w:val="single" w:color="auto" w:sz="4"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5</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single" w:color="auto" w:sz="4"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8</w:t>
            </w:r>
          </w:p>
        </w:tc>
        <w:tc>
          <w:tcPr>
            <w:tcW w:w="4797" w:type="dxa"/>
            <w:tcBorders>
              <w:top w:val="single" w:color="auto" w:sz="4" w:space="0"/>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社会组织总收入占</w:t>
            </w:r>
            <w:r>
              <w:rPr>
                <w:rFonts w:ascii="仿宋_GB2312" w:hAnsi="宋体" w:cs="宋体"/>
                <w:color w:val="000000"/>
                <w:kern w:val="0"/>
                <w:sz w:val="24"/>
                <w:szCs w:val="24"/>
              </w:rPr>
              <w:t>GDP</w:t>
            </w:r>
            <w:r>
              <w:rPr>
                <w:rFonts w:hint="eastAsia" w:ascii="仿宋_GB2312" w:hAnsi="宋体" w:cs="宋体"/>
                <w:color w:val="000000"/>
                <w:kern w:val="0"/>
                <w:sz w:val="24"/>
                <w:szCs w:val="24"/>
              </w:rPr>
              <w:t>比重（</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single" w:color="auto" w:sz="4"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1.5</w:t>
            </w:r>
          </w:p>
        </w:tc>
        <w:tc>
          <w:tcPr>
            <w:tcW w:w="1007" w:type="dxa"/>
            <w:tcBorders>
              <w:top w:val="single" w:color="auto" w:sz="4" w:space="0"/>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1.8</w:t>
            </w:r>
          </w:p>
        </w:tc>
      </w:tr>
      <w:tr>
        <w:tblPrEx>
          <w:tblCellMar>
            <w:top w:w="0" w:type="dxa"/>
            <w:left w:w="108" w:type="dxa"/>
            <w:bottom w:w="0" w:type="dxa"/>
            <w:right w:w="108" w:type="dxa"/>
          </w:tblCellMar>
        </w:tblPrEx>
        <w:trPr>
          <w:trHeight w:val="585"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9</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全区社区居委会选举中采取户代表选举方式或直接选举方式社区的比例（</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48.30</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80</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FF0000"/>
                <w:kern w:val="0"/>
                <w:sz w:val="24"/>
                <w:szCs w:val="24"/>
              </w:rPr>
            </w:pPr>
            <w:r>
              <w:rPr>
                <w:rFonts w:hint="eastAsia" w:ascii="仿宋_GB2312" w:hAnsi="宋体" w:cs="宋体"/>
                <w:kern w:val="0"/>
                <w:sz w:val="24"/>
                <w:szCs w:val="24"/>
              </w:rPr>
              <w:t>持证社会工作专业人才占总人口比例（‰）</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0.45</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1.73</w:t>
            </w:r>
          </w:p>
        </w:tc>
      </w:tr>
      <w:tr>
        <w:tblPrEx>
          <w:tblCellMar>
            <w:top w:w="0" w:type="dxa"/>
            <w:left w:w="108" w:type="dxa"/>
            <w:bottom w:w="0" w:type="dxa"/>
            <w:right w:w="108" w:type="dxa"/>
          </w:tblCellMar>
        </w:tblPrEx>
        <w:trPr>
          <w:trHeight w:val="300"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社会</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风尚</w:t>
            </w: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12</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社会捐赠总量占</w:t>
            </w:r>
            <w:r>
              <w:rPr>
                <w:rFonts w:ascii="仿宋_GB2312" w:hAnsi="宋体" w:cs="宋体"/>
                <w:color w:val="000000"/>
                <w:kern w:val="0"/>
                <w:sz w:val="24"/>
                <w:szCs w:val="24"/>
              </w:rPr>
              <w:t>GDP</w:t>
            </w:r>
            <w:r>
              <w:rPr>
                <w:rFonts w:hint="eastAsia" w:ascii="仿宋_GB2312" w:hAnsi="宋体" w:cs="宋体"/>
                <w:color w:val="000000"/>
                <w:kern w:val="0"/>
                <w:sz w:val="24"/>
                <w:szCs w:val="24"/>
              </w:rPr>
              <w:t>比重（</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0.24</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0.4</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13</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节地生态安葬率（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20</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50</w:t>
            </w:r>
          </w:p>
        </w:tc>
      </w:tr>
      <w:tr>
        <w:tblPrEx>
          <w:tblCellMar>
            <w:top w:w="0" w:type="dxa"/>
            <w:left w:w="108" w:type="dxa"/>
            <w:bottom w:w="0" w:type="dxa"/>
            <w:right w:w="108" w:type="dxa"/>
          </w:tblCellMar>
        </w:tblPrEx>
        <w:trPr>
          <w:trHeight w:val="300" w:hRule="atLeast"/>
        </w:trPr>
        <w:tc>
          <w:tcPr>
            <w:tcW w:w="959" w:type="dxa"/>
            <w:vMerge w:val="restart"/>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基础</w:t>
            </w:r>
          </w:p>
          <w:p>
            <w:pPr>
              <w:widowControl/>
              <w:spacing w:line="240" w:lineRule="auto"/>
              <w:ind w:firstLine="0" w:firstLineChars="0"/>
              <w:jc w:val="center"/>
              <w:rPr>
                <w:rFonts w:ascii="仿宋_GB2312" w:hAnsi="宋体" w:cs="宋体"/>
                <w:color w:val="000000"/>
                <w:kern w:val="0"/>
                <w:sz w:val="24"/>
                <w:szCs w:val="24"/>
              </w:rPr>
            </w:pPr>
            <w:r>
              <w:rPr>
                <w:rFonts w:hint="eastAsia" w:ascii="仿宋_GB2312" w:hAnsi="宋体" w:cs="宋体"/>
                <w:color w:val="000000"/>
                <w:kern w:val="0"/>
                <w:sz w:val="24"/>
                <w:szCs w:val="24"/>
              </w:rPr>
              <w:t>保障</w:t>
            </w: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14</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民政购买服务的资金总量（万）</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617</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1500</w:t>
            </w:r>
          </w:p>
        </w:tc>
      </w:tr>
      <w:tr>
        <w:tblPrEx>
          <w:tblCellMar>
            <w:top w:w="0" w:type="dxa"/>
            <w:left w:w="108" w:type="dxa"/>
            <w:bottom w:w="0" w:type="dxa"/>
            <w:right w:w="108" w:type="dxa"/>
          </w:tblCellMar>
        </w:tblPrEx>
        <w:trPr>
          <w:trHeight w:val="300" w:hRule="atLeast"/>
        </w:trPr>
        <w:tc>
          <w:tcPr>
            <w:tcW w:w="959"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ascii="仿宋_GB2312" w:hAnsi="宋体" w:cs="宋体"/>
                <w:color w:val="000000"/>
                <w:kern w:val="0"/>
                <w:sz w:val="24"/>
                <w:szCs w:val="24"/>
              </w:rPr>
            </w:pPr>
          </w:p>
        </w:tc>
        <w:tc>
          <w:tcPr>
            <w:tcW w:w="59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15</w:t>
            </w:r>
          </w:p>
        </w:tc>
        <w:tc>
          <w:tcPr>
            <w:tcW w:w="4797" w:type="dxa"/>
            <w:tcBorders>
              <w:top w:val="nil"/>
              <w:left w:val="nil"/>
              <w:bottom w:val="single" w:color="auto" w:sz="8" w:space="0"/>
              <w:right w:val="single" w:color="auto" w:sz="8" w:space="0"/>
            </w:tcBorders>
            <w:vAlign w:val="center"/>
          </w:tcPr>
          <w:p>
            <w:pPr>
              <w:widowControl/>
              <w:spacing w:line="240" w:lineRule="auto"/>
              <w:ind w:firstLine="0" w:firstLineChars="0"/>
              <w:rPr>
                <w:rFonts w:ascii="仿宋_GB2312" w:hAnsi="宋体" w:cs="宋体"/>
                <w:color w:val="000000"/>
                <w:kern w:val="0"/>
                <w:sz w:val="24"/>
                <w:szCs w:val="24"/>
              </w:rPr>
            </w:pPr>
            <w:r>
              <w:rPr>
                <w:rFonts w:hint="eastAsia" w:ascii="仿宋_GB2312" w:hAnsi="宋体" w:cs="宋体"/>
                <w:color w:val="000000"/>
                <w:kern w:val="0"/>
                <w:sz w:val="24"/>
                <w:szCs w:val="24"/>
              </w:rPr>
              <w:t>民政业务信息化覆盖率（</w:t>
            </w:r>
            <w:r>
              <w:rPr>
                <w:rFonts w:ascii="仿宋_GB2312" w:hAnsi="宋体" w:cs="宋体"/>
                <w:color w:val="000000"/>
                <w:kern w:val="0"/>
                <w:sz w:val="24"/>
                <w:szCs w:val="24"/>
              </w:rPr>
              <w:t>%</w:t>
            </w:r>
            <w:r>
              <w:rPr>
                <w:rFonts w:hint="eastAsia" w:ascii="仿宋_GB2312" w:hAnsi="宋体" w:cs="宋体"/>
                <w:color w:val="000000"/>
                <w:kern w:val="0"/>
                <w:sz w:val="24"/>
                <w:szCs w:val="24"/>
              </w:rPr>
              <w:t>）</w:t>
            </w:r>
          </w:p>
        </w:tc>
        <w:tc>
          <w:tcPr>
            <w:tcW w:w="140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85</w:t>
            </w:r>
          </w:p>
        </w:tc>
        <w:tc>
          <w:tcPr>
            <w:tcW w:w="1007"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cs="宋体"/>
                <w:color w:val="000000"/>
                <w:kern w:val="0"/>
                <w:sz w:val="24"/>
                <w:szCs w:val="24"/>
              </w:rPr>
            </w:pPr>
            <w:r>
              <w:rPr>
                <w:rFonts w:ascii="仿宋_GB2312" w:hAnsi="宋体" w:cs="宋体"/>
                <w:color w:val="000000"/>
                <w:kern w:val="0"/>
                <w:sz w:val="24"/>
                <w:szCs w:val="24"/>
              </w:rPr>
              <w:t>100</w:t>
            </w:r>
          </w:p>
        </w:tc>
      </w:tr>
    </w:tbl>
    <w:p>
      <w:pPr>
        <w:ind w:firstLine="480"/>
        <w:rPr>
          <w:sz w:val="24"/>
          <w:szCs w:val="24"/>
        </w:rPr>
      </w:pPr>
      <w:r>
        <w:rPr>
          <w:rFonts w:hint="eastAsia"/>
          <w:sz w:val="24"/>
          <w:szCs w:val="24"/>
        </w:rPr>
        <w:t>备注：＊指“十三五”时期平均增长率。“十二五”时期城乡增长率分别为</w:t>
      </w:r>
      <w:r>
        <w:rPr>
          <w:rFonts w:ascii="仿宋_GB2312"/>
          <w:sz w:val="24"/>
          <w:szCs w:val="24"/>
        </w:rPr>
        <w:t>10.55%</w:t>
      </w:r>
      <w:r>
        <w:rPr>
          <w:rFonts w:hint="eastAsia" w:ascii="仿宋_GB2312"/>
          <w:sz w:val="24"/>
          <w:szCs w:val="24"/>
        </w:rPr>
        <w:t>、</w:t>
      </w:r>
      <w:r>
        <w:rPr>
          <w:rFonts w:ascii="仿宋_GB2312"/>
          <w:sz w:val="24"/>
          <w:szCs w:val="24"/>
        </w:rPr>
        <w:t>26.12%</w:t>
      </w:r>
      <w:r>
        <w:rPr>
          <w:rFonts w:hint="eastAsia"/>
          <w:sz w:val="24"/>
          <w:szCs w:val="24"/>
        </w:rPr>
        <w:t>。</w:t>
      </w:r>
    </w:p>
    <w:p>
      <w:pPr>
        <w:ind w:firstLine="0" w:firstLineChars="0"/>
      </w:pPr>
    </w:p>
    <w:p>
      <w:pPr>
        <w:ind w:firstLine="640"/>
      </w:pPr>
    </w:p>
    <w:p>
      <w:pPr>
        <w:ind w:firstLine="640"/>
        <w:sectPr>
          <w:pgSz w:w="11906" w:h="16838"/>
          <w:pgMar w:top="1440" w:right="1800" w:bottom="1440" w:left="1800" w:header="851" w:footer="992" w:gutter="0"/>
          <w:cols w:space="720" w:num="1"/>
          <w:docGrid w:type="lines" w:linePitch="312" w:charSpace="0"/>
        </w:sectPr>
      </w:pPr>
    </w:p>
    <w:p>
      <w:pPr>
        <w:pStyle w:val="43"/>
        <w:ind w:firstLine="880"/>
      </w:pPr>
      <w:bookmarkStart w:id="86" w:name="_Toc460247850"/>
      <w:r>
        <w:rPr>
          <w:rFonts w:hint="eastAsia"/>
        </w:rPr>
        <w:t>第三部分</w:t>
      </w:r>
      <w:r>
        <w:t xml:space="preserve"> </w:t>
      </w:r>
      <w:bookmarkEnd w:id="83"/>
      <w:bookmarkEnd w:id="84"/>
      <w:bookmarkEnd w:id="85"/>
      <w:r>
        <w:rPr>
          <w:rFonts w:hint="eastAsia"/>
        </w:rPr>
        <w:t>主要任务</w:t>
      </w:r>
      <w:bookmarkEnd w:id="86"/>
    </w:p>
    <w:p>
      <w:pPr>
        <w:pStyle w:val="38"/>
        <w:rPr>
          <w:rFonts w:ascii="仿宋" w:hAnsi="仿宋" w:eastAsia="仿宋"/>
          <w:kern w:val="0"/>
          <w:u w:color="000000"/>
        </w:rPr>
      </w:pPr>
      <w:bookmarkStart w:id="87" w:name="_Toc459664779"/>
      <w:bookmarkStart w:id="88" w:name="_Toc459664955"/>
      <w:bookmarkStart w:id="89" w:name="_Toc460247851"/>
      <w:bookmarkStart w:id="90" w:name="_Toc459664422"/>
      <w:r>
        <w:rPr>
          <w:rFonts w:hint="eastAsia"/>
        </w:rPr>
        <w:t>一、完善基本民生保障体系</w:t>
      </w:r>
      <w:bookmarkEnd w:id="87"/>
      <w:bookmarkEnd w:id="88"/>
      <w:bookmarkEnd w:id="89"/>
      <w:bookmarkEnd w:id="90"/>
    </w:p>
    <w:p>
      <w:pPr>
        <w:widowControl/>
        <w:adjustRightInd w:val="0"/>
        <w:snapToGrid w:val="0"/>
        <w:spacing w:line="600" w:lineRule="exact"/>
        <w:ind w:firstLine="640"/>
      </w:pPr>
      <w:r>
        <w:rPr>
          <w:rFonts w:hint="eastAsia"/>
        </w:rPr>
        <w:t>建成覆盖城乡、水平适当的基本民生保障体系，把保障和服务落实到每个个体，实现民政基本公共服务的均等化，兜住兜好基本民生保障底线。</w:t>
      </w:r>
    </w:p>
    <w:p>
      <w:pPr>
        <w:pStyle w:val="39"/>
        <w:spacing w:before="156" w:after="156"/>
      </w:pPr>
      <w:bookmarkStart w:id="91" w:name="_Toc459664423"/>
      <w:bookmarkStart w:id="92" w:name="_Toc459664956"/>
      <w:bookmarkStart w:id="93" w:name="_Toc460247852"/>
      <w:r>
        <w:rPr>
          <w:rFonts w:hint="eastAsia"/>
        </w:rPr>
        <w:t>（一）完善困难群众救助体系</w:t>
      </w:r>
      <w:bookmarkEnd w:id="91"/>
      <w:bookmarkEnd w:id="92"/>
      <w:bookmarkEnd w:id="93"/>
    </w:p>
    <w:p>
      <w:pPr>
        <w:ind w:firstLine="643"/>
      </w:pPr>
      <w:bookmarkStart w:id="94" w:name="_Toc459664957"/>
      <w:bookmarkStart w:id="95" w:name="_Toc459664424"/>
      <w:r>
        <w:rPr>
          <w:b/>
        </w:rPr>
        <w:t>1.</w:t>
      </w:r>
      <w:r>
        <w:rPr>
          <w:rFonts w:hint="eastAsia"/>
          <w:b/>
        </w:rPr>
        <w:t>兜牢群众基本生活底线</w:t>
      </w:r>
      <w:bookmarkEnd w:id="94"/>
      <w:bookmarkEnd w:id="95"/>
      <w:r>
        <w:rPr>
          <w:rFonts w:hint="eastAsia"/>
        </w:rPr>
        <w:t>。全面实施精准救助，确保救助对象精准识别、救助措施精准到位、救助流程精准高效。全面推开“救急难”工作，进一步健全“一门受理、协同办理”工作机制，妥善解决困难群众遭遇的各类急难问题。加强“救急难”工作与最低生活保障、特困人员供养、受灾人员救助、各类专项救助、临时救助制度对接，确保重大疾病救助、疾病应急救助和流浪乞讨救助在“救急难”工作中发挥有效作用。进一步完善医疗救助制度，到</w:t>
      </w:r>
      <w:r>
        <w:t>2020</w:t>
      </w:r>
      <w:r>
        <w:rPr>
          <w:rFonts w:hint="eastAsia"/>
        </w:rPr>
        <w:t>年基本解决困难群体因病致贫和因病返贫问题。对因病支出型贫困家庭，或获得最低生活保障后生活仍有困难的群众实施分类救助；对其他社会救助制度暂时无法覆盖或救助之后基本生活仍有严重困难的，通过临时救助、应急救助政策给予应急性、过渡性救助。完善最低生活保障认定条件，严格履行社会救助审核审批程序，规范救助信息公开，引入第三方监督，实现“阳光救助”。完善居民经济核对系统，增强核对时效，拓展核对内容，落实“应保尽保，应退则退”。积极推动社会力量参与救助，支持专业社工为社会救助家庭提供能力提升、社会融入等个性化、专业化服务。</w:t>
      </w:r>
    </w:p>
    <w:p>
      <w:pPr>
        <w:ind w:firstLine="643"/>
      </w:pPr>
      <w:bookmarkStart w:id="96" w:name="_Toc459664425"/>
      <w:bookmarkStart w:id="97" w:name="_Toc459664958"/>
      <w:r>
        <w:rPr>
          <w:b/>
        </w:rPr>
        <w:t>2.</w:t>
      </w:r>
      <w:r>
        <w:rPr>
          <w:rFonts w:hint="eastAsia"/>
          <w:b/>
        </w:rPr>
        <w:t>加强特殊群体救助保障</w:t>
      </w:r>
      <w:bookmarkEnd w:id="96"/>
      <w:bookmarkEnd w:id="97"/>
      <w:r>
        <w:rPr>
          <w:rFonts w:hint="eastAsia"/>
          <w:b/>
        </w:rPr>
        <w:t>。</w:t>
      </w:r>
      <w:r>
        <w:rPr>
          <w:rFonts w:hint="eastAsia"/>
        </w:rPr>
        <w:t>协助建成北京救助管理总站，达到国家三级救助管理机构评定标准。积极探索和研究征地超转人员社会保障体制改革。扎实做好北京大兴国际机场范围及其他地区征地拆迁群众接收工作，切实维护失地农民合法权益。开展“三留守人员”摸底排查，为“三留守”人员提供救助保护和关爱服务。加快推进救助服务社会化，以政府购买服务的形式委托专业社工机构开展流浪乞讨人员的街面外展、跨省护送、心理疏导等专业服务。拓宽救助工作职能，深入推进困境未成年人社会保护工作、反家暴救助工作，为家暴受害人提供相对独立的庇护场所和临时性生活救助。</w:t>
      </w:r>
    </w:p>
    <w:p>
      <w:pPr>
        <w:ind w:firstLine="643"/>
      </w:pPr>
      <w:bookmarkStart w:id="98" w:name="_Toc459664959"/>
      <w:bookmarkStart w:id="99" w:name="_Toc459664426"/>
      <w:r>
        <w:rPr>
          <w:b/>
        </w:rPr>
        <w:t>3.</w:t>
      </w:r>
      <w:r>
        <w:rPr>
          <w:rFonts w:hint="eastAsia"/>
          <w:b/>
        </w:rPr>
        <w:t>提升综合减灾防灾能力</w:t>
      </w:r>
      <w:bookmarkEnd w:id="98"/>
      <w:bookmarkEnd w:id="99"/>
      <w:r>
        <w:rPr>
          <w:rFonts w:hint="eastAsia"/>
          <w:b/>
        </w:rPr>
        <w:t>。</w:t>
      </w:r>
      <w:r>
        <w:rPr>
          <w:rFonts w:hint="eastAsia"/>
        </w:rPr>
        <w:t>全面构建政府主导、社会参与、部门联动、军地协调的综合减灾救灾管理机制，建立区、街道（镇）二级应急救助预案体系。争创综合减灾示范街道和示范社区，力争创建全国或市级减灾示范社区</w:t>
      </w:r>
      <w:r>
        <w:t>20</w:t>
      </w:r>
      <w:r>
        <w:rPr>
          <w:rFonts w:hint="eastAsia"/>
        </w:rPr>
        <w:t>家以上。推动防灾减灾宣传演练进机关、进企业、进社区、进学校、进农村。制定区、街道、社区、家庭四级应急救灾物资储备指导目录。加强灾害信息员队伍建设，确保灾害信息员队伍人数达到</w:t>
      </w:r>
      <w:r>
        <w:t>1200</w:t>
      </w:r>
      <w:r>
        <w:rPr>
          <w:rFonts w:hint="eastAsia"/>
        </w:rPr>
        <w:t>名。引导社会力量有序参与减灾救灾工作。推动京津冀协调发展，与毗邻区县建立灾情信息共享、救灾物资统筹、宣传演练联动等协调联动机制，开展三地灾害风险综合评估，构建一体化防灾减灾工作格局。</w:t>
      </w:r>
    </w:p>
    <w:p>
      <w:pPr>
        <w:ind w:firstLine="643"/>
      </w:pPr>
      <w:bookmarkStart w:id="100" w:name="_Toc459664427"/>
      <w:bookmarkStart w:id="101" w:name="_Toc459664960"/>
      <w:r>
        <w:rPr>
          <w:b/>
        </w:rPr>
        <w:t>4.</w:t>
      </w:r>
      <w:r>
        <w:rPr>
          <w:rFonts w:hint="eastAsia"/>
          <w:b/>
        </w:rPr>
        <w:t>加快“慈善大兴”建设</w:t>
      </w:r>
      <w:bookmarkEnd w:id="100"/>
      <w:bookmarkEnd w:id="101"/>
      <w:r>
        <w:rPr>
          <w:rFonts w:hint="eastAsia"/>
          <w:b/>
        </w:rPr>
        <w:t>。</w:t>
      </w:r>
      <w:r>
        <w:rPr>
          <w:rFonts w:hint="eastAsia"/>
        </w:rPr>
        <w:t>认真贯彻落实《慈善法》和《北京市促进慈善事业若干规定》，完善慈善工作体制机制。推动街道设立慈善专项基金，培育和扶持慈善组织，壮大慈善组织数量。创新慈善力量参与社会救助机制和形式，采取项目资助、合同委托、社会招标等方式，形成慈善服务供给新局面。指导全区社会公益性组织开展工作，强化工作机制和队伍建设，提高慈善机构社会公信力。弘扬慈善文化，引导社会公众关心慈善、支持慈善、参与慈善，完善募集长效机制。推动建设慈善超市。推动京津冀在慈善信息共享、慈善资源供给和求助需求的对接与合作。</w:t>
      </w:r>
    </w:p>
    <w:p>
      <w:pPr>
        <w:pStyle w:val="39"/>
        <w:spacing w:before="156" w:after="156"/>
      </w:pPr>
      <w:bookmarkStart w:id="102" w:name="_Toc459664961"/>
      <w:bookmarkStart w:id="103" w:name="_Toc460247853"/>
      <w:bookmarkStart w:id="104" w:name="_Toc459664428"/>
      <w:r>
        <w:rPr>
          <w:rFonts w:hint="eastAsia"/>
        </w:rPr>
        <w:t>（二）完善儿童福利保障体系</w:t>
      </w:r>
      <w:bookmarkEnd w:id="102"/>
      <w:bookmarkEnd w:id="103"/>
      <w:bookmarkEnd w:id="104"/>
    </w:p>
    <w:p>
      <w:pPr>
        <w:ind w:firstLine="643"/>
      </w:pPr>
      <w:bookmarkStart w:id="105" w:name="_Toc459664962"/>
      <w:bookmarkStart w:id="106" w:name="_Toc459664429"/>
      <w:r>
        <w:rPr>
          <w:b/>
        </w:rPr>
        <w:t>1.</w:t>
      </w:r>
      <w:r>
        <w:rPr>
          <w:rFonts w:hint="eastAsia"/>
          <w:b/>
        </w:rPr>
        <w:t>健全儿童福利制度</w:t>
      </w:r>
      <w:bookmarkEnd w:id="105"/>
      <w:bookmarkEnd w:id="106"/>
      <w:r>
        <w:rPr>
          <w:rFonts w:hint="eastAsia"/>
        </w:rPr>
        <w:t>。加快建立困境儿童分类保障制度，分层次、分步骤将各类困境儿童纳入保障范围。逐步提高孤儿基本生活保障津贴标准，推动以基本生活、医疗、康复、教育、就业、住房等为主要内容的孤儿保障体系建设。建立残疾儿童监护和低收入家庭儿童养育补贴制度，为孤残儿童提供监护津贴，为低保、低收入家庭儿童提供养育补贴。建立婴幼儿重大疾病和意外伤害保险制度，为低保、低收入家庭购买保险。</w:t>
      </w:r>
    </w:p>
    <w:p>
      <w:pPr>
        <w:ind w:firstLine="643"/>
      </w:pPr>
      <w:r>
        <w:rPr>
          <w:b/>
        </w:rPr>
        <w:t>2.</w:t>
      </w:r>
      <w:r>
        <w:rPr>
          <w:rFonts w:hint="eastAsia"/>
          <w:b/>
        </w:rPr>
        <w:t>推进儿童福利机构转型。</w:t>
      </w:r>
      <w:r>
        <w:rPr>
          <w:rFonts w:hint="eastAsia"/>
        </w:rPr>
        <w:t>拓展儿童福利院综合服务功能，既为机构内儿童提供集特殊教育、生活照料、医疗护理、脱残康复为一体的综合性服务，又利用自身优势资源为周边家庭残疾儿童开展短期照料护理、教育培训等专业化服务。依托儿童福利机构建设理论研究基地和社会实践基地，引入专业社会力量，推进儿童福利事业创新发展。</w:t>
      </w:r>
    </w:p>
    <w:p>
      <w:pPr>
        <w:ind w:firstLine="643"/>
      </w:pPr>
      <w:bookmarkStart w:id="107" w:name="_Toc459664430"/>
      <w:bookmarkStart w:id="108" w:name="_Toc459664963"/>
      <w:r>
        <w:rPr>
          <w:b/>
        </w:rPr>
        <w:t>3.</w:t>
      </w:r>
      <w:r>
        <w:rPr>
          <w:rFonts w:hint="eastAsia"/>
          <w:b/>
        </w:rPr>
        <w:t>完善儿童福利服务体系</w:t>
      </w:r>
      <w:bookmarkEnd w:id="107"/>
      <w:bookmarkEnd w:id="108"/>
      <w:r>
        <w:rPr>
          <w:rFonts w:hint="eastAsia"/>
          <w:b/>
        </w:rPr>
        <w:t>。</w:t>
      </w:r>
      <w:r>
        <w:rPr>
          <w:rFonts w:hint="eastAsia"/>
        </w:rPr>
        <w:t>建立区儿童福利指导中心、街道（镇）儿童福利工作站、社区（村）儿童督导员等服务网络。推动将儿童福利服务纳入政府购买范围，扶持儿童福利专业社会工作机构发展，鼓励社会力量参与儿童福利服务。加强孤残儿童护理员职业技能培训和鉴定，推行持证上岗，将职业技能培训体系从孤残儿童护理员向各类儿童护理员拓展。</w:t>
      </w:r>
    </w:p>
    <w:p>
      <w:pPr>
        <w:pStyle w:val="39"/>
        <w:spacing w:before="156" w:after="156"/>
        <w:rPr>
          <w:rFonts w:ascii="仿宋" w:hAnsi="仿宋" w:eastAsia="仿宋"/>
          <w:shd w:val="clear" w:color="auto" w:fill="FFFFFF"/>
        </w:rPr>
      </w:pPr>
      <w:bookmarkStart w:id="109" w:name="_Toc459664434"/>
      <w:bookmarkStart w:id="110" w:name="_Toc459664967"/>
      <w:bookmarkStart w:id="111" w:name="_Toc460247854"/>
      <w:r>
        <w:rPr>
          <w:rFonts w:hint="eastAsia"/>
        </w:rPr>
        <w:t>（三）完善优抚安置对象服务保障体系</w:t>
      </w:r>
      <w:bookmarkEnd w:id="109"/>
      <w:bookmarkEnd w:id="110"/>
      <w:bookmarkEnd w:id="111"/>
    </w:p>
    <w:p>
      <w:pPr>
        <w:ind w:firstLine="643"/>
      </w:pPr>
      <w:bookmarkStart w:id="112" w:name="_Toc459664968"/>
      <w:bookmarkStart w:id="113" w:name="_Toc459664435"/>
      <w:r>
        <w:rPr>
          <w:b/>
        </w:rPr>
        <w:t>1.</w:t>
      </w:r>
      <w:bookmarkEnd w:id="112"/>
      <w:bookmarkEnd w:id="113"/>
      <w:r>
        <w:rPr>
          <w:rFonts w:hint="eastAsia"/>
          <w:b/>
        </w:rPr>
        <w:t>完善优抚双拥机制</w:t>
      </w:r>
      <w:r>
        <w:rPr>
          <w:rFonts w:hint="eastAsia"/>
        </w:rPr>
        <w:t>。提高各类抚恤优待标准，健全物质保障和精神抚慰并重的优抚工作新机制，拓展服务对象范围和内容，创新家访谈心、事迹宣扬、英模人物作报告等服务方式。大力推进烈士纪念设施和网上烈士公祭系统建设、管理、维护等工作，到</w:t>
      </w:r>
      <w:r>
        <w:t>2020</w:t>
      </w:r>
      <w:r>
        <w:rPr>
          <w:rFonts w:hint="eastAsia"/>
        </w:rPr>
        <w:t>年，完成烈士陵园和英烈事迹馆建设。以大兴区军民结合产业园和“蓝鲸园”基地建设为依托，为</w:t>
      </w:r>
      <w:r>
        <w:rPr>
          <w:rFonts w:ascii="µÈÏß Western" w:hAnsi="µÈÏß Western"/>
        </w:rPr>
        <w:t>“</w:t>
      </w:r>
      <w:r>
        <w:rPr>
          <w:rFonts w:hint="eastAsia"/>
        </w:rPr>
        <w:t>军转民</w:t>
      </w:r>
      <w:r>
        <w:rPr>
          <w:rFonts w:ascii="µÈÏß Western" w:hAnsi="µÈÏß Western"/>
        </w:rPr>
        <w:t>”</w:t>
      </w:r>
      <w:r>
        <w:rPr>
          <w:rFonts w:hint="eastAsia"/>
        </w:rPr>
        <w:t>、</w:t>
      </w:r>
      <w:r>
        <w:rPr>
          <w:rFonts w:ascii="µÈÏß Western" w:hAnsi="µÈÏß Western"/>
        </w:rPr>
        <w:t>“</w:t>
      </w:r>
      <w:r>
        <w:rPr>
          <w:rFonts w:hint="eastAsia"/>
        </w:rPr>
        <w:t>民参军</w:t>
      </w:r>
      <w:r>
        <w:rPr>
          <w:rFonts w:ascii="µÈÏß Western" w:hAnsi="µÈÏß Western"/>
        </w:rPr>
        <w:t>”</w:t>
      </w:r>
      <w:r>
        <w:rPr>
          <w:rFonts w:hint="eastAsia"/>
        </w:rPr>
        <w:t>企业搭建对接平台，打造国家级军民融合产业示范基地。争创新一轮全国双拥模范城，创新拥军模式，打造文化科技拥军、法律拥军、后勤拥军、政治拥军、“两新组织”拥军新平台。深入开展见义勇为评选表彰和权益保护。</w:t>
      </w:r>
    </w:p>
    <w:p>
      <w:pPr>
        <w:ind w:firstLine="643"/>
      </w:pPr>
      <w:bookmarkStart w:id="114" w:name="_Toc459664437"/>
      <w:bookmarkStart w:id="115" w:name="_Toc459664970"/>
      <w:r>
        <w:rPr>
          <w:b/>
        </w:rPr>
        <w:t>2.</w:t>
      </w:r>
      <w:r>
        <w:rPr>
          <w:rFonts w:hint="eastAsia"/>
          <w:b/>
        </w:rPr>
        <w:t>深化退役士兵安置改革</w:t>
      </w:r>
      <w:bookmarkEnd w:id="114"/>
      <w:bookmarkEnd w:id="115"/>
      <w:r>
        <w:rPr>
          <w:rFonts w:hint="eastAsia"/>
          <w:b/>
        </w:rPr>
        <w:t>。</w:t>
      </w:r>
      <w:r>
        <w:rPr>
          <w:rFonts w:hint="eastAsia"/>
        </w:rPr>
        <w:t>努力探索实施退役前教育培训提前介入模式，完善退役士兵职业教育和技能培训形式，提高退役士兵培训率，促进退役士兵就业能力。强化政府安置退役士兵职能作用，建立公正、公开、公平的安置机制，保障符合政府安置工作条件的退役士兵得到妥善安置。加大自主就业退役士兵帮扶力度，通过政府组织、购买服务等多种方式，为自主就业退役士兵提供扶持就业服务。</w:t>
      </w:r>
    </w:p>
    <w:p>
      <w:pPr>
        <w:ind w:firstLine="643"/>
      </w:pPr>
      <w:bookmarkStart w:id="116" w:name="_Toc459664971"/>
      <w:bookmarkStart w:id="117" w:name="_Toc459664438"/>
      <w:r>
        <w:rPr>
          <w:b/>
        </w:rPr>
        <w:t>3.</w:t>
      </w:r>
      <w:r>
        <w:rPr>
          <w:rFonts w:hint="eastAsia"/>
          <w:b/>
        </w:rPr>
        <w:t>推进军休社会化</w:t>
      </w:r>
      <w:bookmarkEnd w:id="116"/>
      <w:bookmarkEnd w:id="117"/>
      <w:r>
        <w:rPr>
          <w:rFonts w:hint="eastAsia"/>
          <w:b/>
        </w:rPr>
        <w:t>。</w:t>
      </w:r>
      <w:r>
        <w:rPr>
          <w:rFonts w:hint="eastAsia"/>
        </w:rPr>
        <w:t>在光荣院中引入社会服务商，推广</w:t>
      </w:r>
      <w:r>
        <w:rPr>
          <w:rFonts w:ascii="µÈÏß Western" w:hAnsi="µÈÏß Western"/>
        </w:rPr>
        <w:t>“</w:t>
      </w:r>
      <w:r>
        <w:rPr>
          <w:rFonts w:hint="eastAsia"/>
        </w:rPr>
        <w:t>社工进所</w:t>
      </w:r>
      <w:r>
        <w:rPr>
          <w:rFonts w:ascii="µÈÏß Western" w:hAnsi="µÈÏß Western"/>
        </w:rPr>
        <w:t>”</w:t>
      </w:r>
      <w:r>
        <w:rPr>
          <w:rFonts w:hint="eastAsia"/>
        </w:rPr>
        <w:t>，借助社会力量为军休人员提供专业化、精细化服务。推进军休与养老服务融合，把军休机构纳入街道（镇）养老照料中心等养老机构服务辐射范围，让军休人员享受地方惠老敬老政策，拓展光荣院社会化养老服务功能，力争“十三五”期间入住率达</w:t>
      </w:r>
      <w:r>
        <w:t>80%</w:t>
      </w:r>
      <w:r>
        <w:rPr>
          <w:rFonts w:hint="eastAsia"/>
        </w:rPr>
        <w:t>以上。推进军休与社区融合，主动利用周边社区服务设施为军休人员开展文化、体育、娱乐等活动。落实《军队无军籍退休退职职工服务管理办法》。高标准完成中央下达的军休干部和无军籍职工接收安置任务。</w:t>
      </w:r>
    </w:p>
    <w:p>
      <w:pPr>
        <w:pStyle w:val="38"/>
      </w:pPr>
      <w:bookmarkStart w:id="118" w:name="_Toc460247855"/>
      <w:r>
        <w:rPr>
          <w:rFonts w:hint="eastAsia"/>
        </w:rPr>
        <w:t>二、加快残疾人小康进程</w:t>
      </w:r>
      <w:bookmarkEnd w:id="118"/>
    </w:p>
    <w:p>
      <w:pPr>
        <w:ind w:firstLine="640"/>
      </w:pPr>
      <w:r>
        <w:rPr>
          <w:rFonts w:hint="eastAsia"/>
        </w:rPr>
        <w:t>完善残疾人福利保障政策，加快推进残疾人“学有优教、劳有多得、病有良医、老有善养、住有宜居、困有所帮”服务模式建设，实现残疾人社会保障和服务的制度化、专业化和标准化管理。</w:t>
      </w:r>
    </w:p>
    <w:p>
      <w:pPr>
        <w:pStyle w:val="39"/>
        <w:spacing w:before="156" w:after="156"/>
      </w:pPr>
      <w:bookmarkStart w:id="119" w:name="_Toc460247856"/>
      <w:r>
        <w:rPr>
          <w:rFonts w:hint="eastAsia"/>
        </w:rPr>
        <w:t>（一）持续加强残疾人民生保障</w:t>
      </w:r>
      <w:bookmarkEnd w:id="119"/>
    </w:p>
    <w:p>
      <w:pPr>
        <w:ind w:firstLine="640" w:firstLineChars="0"/>
      </w:pPr>
      <w:r>
        <w:t>1.</w:t>
      </w:r>
      <w:r>
        <w:rPr>
          <w:rFonts w:hint="eastAsia"/>
        </w:rPr>
        <w:t>努力促进残疾人就业增收。依法推进残疾人按比例就业，稳定发展残疾人集中就业，大力支持残疾人自主创业和灵活就业，加快发展残疾人支持性就业和辅助性就业；加强残疾人就业兜底保障，至少建立一所示范性辅助性就业机构，基本满足具有一定劳动能力的智力、精神和中重度肢体残疾人的就业需求，培育形成残疾人新的就业增长点；加大农村残疾人综合扶持力度，提高残疾人职业技能培训水平，继续开展</w:t>
      </w:r>
      <w:r>
        <w:rPr>
          <w:rFonts w:ascii="µÈÏß Western" w:hAnsi="µÈÏß Western"/>
        </w:rPr>
        <w:t>“</w:t>
      </w:r>
      <w:r>
        <w:rPr>
          <w:rFonts w:hint="eastAsia"/>
        </w:rPr>
        <w:t>订单、定岗、定向</w:t>
      </w:r>
      <w:r>
        <w:rPr>
          <w:rFonts w:ascii="µÈÏß Western" w:hAnsi="µÈÏß Western"/>
        </w:rPr>
        <w:t>”</w:t>
      </w:r>
      <w:r>
        <w:rPr>
          <w:rFonts w:hint="eastAsia"/>
        </w:rPr>
        <w:t>式培训和自主创业培训，实现培训对象广覆盖、培训类型多样化、培训等级多层次、培训载体多元化和培训管理规范化；切实加强残疾人就业服务和劳动保障监察，拓展职业重建，让有劳动能力的新生残疾劳动力全部实现就业或进行工作实习、培训等。</w:t>
      </w:r>
    </w:p>
    <w:p>
      <w:pPr>
        <w:ind w:firstLine="640" w:firstLineChars="0"/>
      </w:pPr>
      <w:r>
        <w:t>2.</w:t>
      </w:r>
      <w:r>
        <w:rPr>
          <w:rFonts w:hint="eastAsia"/>
        </w:rPr>
        <w:t>保障残疾人基本民生。筑牢残疾人社会保障底线，加大残疾人社会救助力度，落实残疾人基本福利补贴制度，根据残疾人家庭需求与负担评估，不断完善困难残疾人生活补贴和重度残疾人护理补贴制度。帮助残疾人普遍参加基本养老和基本医疗保险，依据有关政策优先保障城乡残疾人基本住房。</w:t>
      </w:r>
    </w:p>
    <w:p>
      <w:pPr>
        <w:pStyle w:val="39"/>
        <w:spacing w:before="156" w:after="156"/>
      </w:pPr>
      <w:bookmarkStart w:id="120" w:name="_Toc460247857"/>
      <w:r>
        <w:rPr>
          <w:rFonts w:hint="eastAsia"/>
        </w:rPr>
        <w:t>（二）大幅提升残疾人基本公共服务水平</w:t>
      </w:r>
      <w:bookmarkEnd w:id="120"/>
    </w:p>
    <w:p>
      <w:pPr>
        <w:ind w:firstLine="640"/>
      </w:pPr>
      <w:r>
        <w:t>1.</w:t>
      </w:r>
      <w:r>
        <w:rPr>
          <w:rFonts w:hint="eastAsia"/>
        </w:rPr>
        <w:t>强化残疾预防。广泛开展残疾预防</w:t>
      </w:r>
      <w:r>
        <w:rPr>
          <w:rFonts w:ascii="µÈÏß Western" w:hAnsi="µÈÏß Western"/>
        </w:rPr>
        <w:t>“</w:t>
      </w:r>
      <w:r>
        <w:rPr>
          <w:rFonts w:hint="eastAsia"/>
        </w:rPr>
        <w:t>进社区、进家庭、进校园</w:t>
      </w:r>
      <w:r>
        <w:rPr>
          <w:rFonts w:ascii="µÈÏß Western" w:hAnsi="µÈÏß Western"/>
        </w:rPr>
        <w:t>”</w:t>
      </w:r>
      <w:r>
        <w:rPr>
          <w:rFonts w:hint="eastAsia"/>
        </w:rPr>
        <w:t>宣传教育活动，建立完善新发疑似残疾儿童信息监测网络。</w:t>
      </w:r>
    </w:p>
    <w:p>
      <w:pPr>
        <w:ind w:firstLine="640"/>
      </w:pPr>
      <w:r>
        <w:t>2.</w:t>
      </w:r>
      <w:r>
        <w:rPr>
          <w:rFonts w:hint="eastAsia"/>
        </w:rPr>
        <w:t>完善非医疗康复服务。通过定向培养、转岗培养等措施，解决康复人才短缺问题。提升非医疗康复服务水平，强化残疾人温馨家园、职业康复站等康复服务职能，在社区普遍开展日间康复照料、独立生活能力训练、康复知识培训等工作。</w:t>
      </w:r>
    </w:p>
    <w:p>
      <w:pPr>
        <w:ind w:firstLine="640"/>
      </w:pPr>
      <w:r>
        <w:t>3.</w:t>
      </w:r>
      <w:r>
        <w:rPr>
          <w:rFonts w:hint="eastAsia"/>
        </w:rPr>
        <w:t>加强辅助器具适配服务。推广个性化的辅助器具适配服务，有效保障残疾人基本辅助器具需求。</w:t>
      </w:r>
    </w:p>
    <w:p>
      <w:pPr>
        <w:ind w:firstLine="640"/>
      </w:pPr>
      <w:r>
        <w:t>4.</w:t>
      </w:r>
      <w:r>
        <w:rPr>
          <w:rFonts w:hint="eastAsia"/>
        </w:rPr>
        <w:t>提升残疾人受教育水平。大力推进融合教育，提高特殊教育质量，加大残疾人教育保障力度，实施特殊教育社会支持工程，以政府购买服务方式为特殊教育学校及融合教育学校配备康复、社会工作、心理健康等非教育类专业人员。</w:t>
      </w:r>
    </w:p>
    <w:p>
      <w:pPr>
        <w:ind w:firstLine="640"/>
      </w:pPr>
      <w:r>
        <w:t>5.</w:t>
      </w:r>
      <w:r>
        <w:rPr>
          <w:rFonts w:hint="eastAsia"/>
        </w:rPr>
        <w:t>发展残疾人养护照料服务。大力提升居家服务水平，加快发展社区照料服务，稳步拓展机构托养服务。</w:t>
      </w:r>
    </w:p>
    <w:p>
      <w:pPr>
        <w:ind w:firstLine="640"/>
      </w:pPr>
      <w:r>
        <w:t>6.</w:t>
      </w:r>
      <w:r>
        <w:rPr>
          <w:rFonts w:hint="eastAsia"/>
        </w:rPr>
        <w:t>加强残疾人公共文化服务。扶持残疾人文化产业发展，普及残疾人群众性体育健身活动。</w:t>
      </w:r>
    </w:p>
    <w:p>
      <w:pPr>
        <w:ind w:firstLine="640"/>
      </w:pPr>
      <w:r>
        <w:t>7.</w:t>
      </w:r>
      <w:r>
        <w:rPr>
          <w:rFonts w:hint="eastAsia"/>
        </w:rPr>
        <w:t>优化残疾人服务供给。建立残疾人服务管理新模式，加大政府购买助残服务力度，加强残疾人服务设施建设，强化落实配套政策支持。</w:t>
      </w:r>
    </w:p>
    <w:p>
      <w:pPr>
        <w:pStyle w:val="39"/>
        <w:spacing w:before="156" w:after="156"/>
      </w:pPr>
      <w:bookmarkStart w:id="121" w:name="_Toc460247858"/>
      <w:r>
        <w:rPr>
          <w:rFonts w:hint="eastAsia"/>
        </w:rPr>
        <w:t>（三）推进残疾人工作体制机制现代化</w:t>
      </w:r>
      <w:bookmarkEnd w:id="121"/>
    </w:p>
    <w:p>
      <w:pPr>
        <w:ind w:firstLine="640"/>
      </w:pPr>
      <w:r>
        <w:t>1.</w:t>
      </w:r>
      <w:r>
        <w:rPr>
          <w:rFonts w:hint="eastAsia"/>
        </w:rPr>
        <w:t>进一步明确政府职责。将残疾人基本公共服务纳入社区综合服务平台，实现残疾人服务</w:t>
      </w:r>
      <w:r>
        <w:rPr>
          <w:rFonts w:ascii="µÈÏß Western" w:hAnsi="µÈÏß Western"/>
        </w:rPr>
        <w:t>“</w:t>
      </w:r>
      <w:r>
        <w:rPr>
          <w:rFonts w:hint="eastAsia"/>
        </w:rPr>
        <w:t>一门受理、协同办理</w:t>
      </w:r>
      <w:r>
        <w:rPr>
          <w:rFonts w:ascii="µÈÏß Western" w:hAnsi="µÈÏß Western"/>
        </w:rPr>
        <w:t>”</w:t>
      </w:r>
      <w:r>
        <w:rPr>
          <w:rFonts w:hint="eastAsia"/>
        </w:rPr>
        <w:t>。</w:t>
      </w:r>
    </w:p>
    <w:p>
      <w:pPr>
        <w:ind w:firstLine="640"/>
      </w:pPr>
      <w:r>
        <w:t>2.</w:t>
      </w:r>
      <w:r>
        <w:rPr>
          <w:rFonts w:hint="eastAsia"/>
        </w:rPr>
        <w:t>完善落实残疾人工作委员会制度。强化残疾人工作委员会办公室沟通协调作用，加强各部门残疾人工作信息交流，营造各尽其责、齐抓共管的良好氛围。</w:t>
      </w:r>
    </w:p>
    <w:p>
      <w:pPr>
        <w:ind w:firstLine="640"/>
      </w:pPr>
      <w:r>
        <w:t>3.</w:t>
      </w:r>
      <w:r>
        <w:rPr>
          <w:rFonts w:hint="eastAsia"/>
        </w:rPr>
        <w:t>巩固和完善</w:t>
      </w:r>
      <w:r>
        <w:rPr>
          <w:rFonts w:ascii="µÈÏß Western" w:hAnsi="µÈÏß Western"/>
        </w:rPr>
        <w:t>“</w:t>
      </w:r>
      <w:r>
        <w:rPr>
          <w:rFonts w:hint="eastAsia"/>
        </w:rPr>
        <w:t>横向到边、纵向到底，机构健全、队伍稳定实干、服务功能完善</w:t>
      </w:r>
      <w:r>
        <w:rPr>
          <w:rFonts w:ascii="µÈÏß Western" w:hAnsi="µÈÏß Western"/>
        </w:rPr>
        <w:t>”</w:t>
      </w:r>
      <w:r>
        <w:rPr>
          <w:rFonts w:hint="eastAsia"/>
        </w:rPr>
        <w:t>的残疾人组织网络，充分激发社会活力，加强助残社会组织培育管理，加大发展残疾人服务业市场，推动科技创新助力残疾人事业发展。</w:t>
      </w:r>
    </w:p>
    <w:p>
      <w:pPr>
        <w:ind w:firstLine="640"/>
      </w:pPr>
      <w:r>
        <w:t>4.</w:t>
      </w:r>
      <w:r>
        <w:rPr>
          <w:rFonts w:hint="eastAsia"/>
        </w:rPr>
        <w:t>加强和改进残联工作。推进残联自我革新，完善残疾人职康中心服务功能，满足残疾人的康复训练指导、职康劳动项目开展、职业技能培训、辅具评估适配、盲人按摩、法律救助、文体活动“七位一体”综合服务需要。</w:t>
      </w:r>
    </w:p>
    <w:p>
      <w:pPr>
        <w:pStyle w:val="39"/>
        <w:spacing w:before="156" w:after="156"/>
      </w:pPr>
      <w:bookmarkStart w:id="122" w:name="_Toc460247859"/>
      <w:r>
        <w:rPr>
          <w:rFonts w:hint="eastAsia"/>
        </w:rPr>
        <w:t>（四）依法保障残疾人平等权益</w:t>
      </w:r>
      <w:bookmarkEnd w:id="122"/>
    </w:p>
    <w:p>
      <w:pPr>
        <w:ind w:firstLine="640"/>
      </w:pPr>
      <w:r>
        <w:t>1.</w:t>
      </w:r>
      <w:r>
        <w:rPr>
          <w:rFonts w:hint="eastAsia"/>
        </w:rPr>
        <w:t>着力完善各项残疾人工作制度，确保残疾人事业政策措施依法有据、运行规范。</w:t>
      </w:r>
    </w:p>
    <w:p>
      <w:pPr>
        <w:ind w:firstLine="640"/>
      </w:pPr>
      <w:r>
        <w:t>2.</w:t>
      </w:r>
      <w:r>
        <w:rPr>
          <w:rFonts w:hint="eastAsia"/>
        </w:rPr>
        <w:t>加大残疾人权益保障法规执行力度，形成残疾人权益保障合力，创新残疾人权益保障机制。</w:t>
      </w:r>
    </w:p>
    <w:p>
      <w:pPr>
        <w:ind w:firstLine="640"/>
      </w:pPr>
      <w:r>
        <w:t>3.</w:t>
      </w:r>
      <w:r>
        <w:rPr>
          <w:rFonts w:hint="eastAsia"/>
        </w:rPr>
        <w:t>增强残疾人权益保障法治氛围，弘扬法治意识，努力将与残疾人权益保障相关的法规纳入</w:t>
      </w:r>
      <w:r>
        <w:rPr>
          <w:rFonts w:ascii="µÈÏß Western" w:hAnsi="µÈÏß Western"/>
        </w:rPr>
        <w:t>“</w:t>
      </w:r>
      <w:r>
        <w:rPr>
          <w:rFonts w:hint="eastAsia"/>
        </w:rPr>
        <w:t>七五</w:t>
      </w:r>
      <w:r>
        <w:rPr>
          <w:rFonts w:ascii="µÈÏß Western" w:hAnsi="µÈÏß Western"/>
        </w:rPr>
        <w:t>”</w:t>
      </w:r>
      <w:r>
        <w:rPr>
          <w:rFonts w:hint="eastAsia"/>
        </w:rPr>
        <w:t>普法规划，增强依法保障残疾人权益意识。</w:t>
      </w:r>
    </w:p>
    <w:p>
      <w:pPr>
        <w:ind w:firstLine="640"/>
      </w:pPr>
      <w:r>
        <w:t>4.</w:t>
      </w:r>
      <w:r>
        <w:rPr>
          <w:rFonts w:hint="eastAsia"/>
        </w:rPr>
        <w:t>依法维护残疾人权益，加强温馨家园法律服务站规范建设和管理，探索项目运作的服务方式，为残疾人提供零距离的法律服务。</w:t>
      </w:r>
    </w:p>
    <w:p>
      <w:pPr>
        <w:pStyle w:val="39"/>
        <w:spacing w:before="156" w:after="156"/>
      </w:pPr>
      <w:bookmarkStart w:id="123" w:name="_Toc460247860"/>
      <w:r>
        <w:rPr>
          <w:rFonts w:hint="eastAsia"/>
        </w:rPr>
        <w:t>（五）着力构建残疾人平等融合社会环境</w:t>
      </w:r>
      <w:bookmarkEnd w:id="123"/>
    </w:p>
    <w:p>
      <w:pPr>
        <w:ind w:firstLine="640"/>
      </w:pPr>
      <w:r>
        <w:t>1.</w:t>
      </w:r>
      <w:r>
        <w:rPr>
          <w:rFonts w:hint="eastAsia"/>
        </w:rPr>
        <w:t>推动区内公共交通和信息建设无障碍</w:t>
      </w:r>
      <w:r>
        <w:t>,</w:t>
      </w:r>
      <w:r>
        <w:rPr>
          <w:rFonts w:hint="eastAsia"/>
        </w:rPr>
        <w:t>努力实现区内重点线路公交无障碍车普及，推进电视台新闻手语实时播放和非政府网站的无障碍建设。</w:t>
      </w:r>
    </w:p>
    <w:p>
      <w:pPr>
        <w:ind w:firstLine="640"/>
      </w:pPr>
      <w:r>
        <w:t>2.</w:t>
      </w:r>
      <w:r>
        <w:rPr>
          <w:rFonts w:hint="eastAsia"/>
        </w:rPr>
        <w:t>营造平等融合文化氛围，加强残疾人事业宣传，增强宣传广度和深度，扩大</w:t>
      </w:r>
      <w:r>
        <w:rPr>
          <w:rFonts w:ascii="µÈÏß Western" w:hAnsi="µÈÏß Western"/>
        </w:rPr>
        <w:t>“</w:t>
      </w:r>
      <w:r>
        <w:rPr>
          <w:rFonts w:hint="eastAsia"/>
        </w:rPr>
        <w:t>全国助残日</w:t>
      </w:r>
      <w:r>
        <w:rPr>
          <w:rFonts w:ascii="µÈÏß Western" w:hAnsi="µÈÏß Western"/>
        </w:rPr>
        <w:t>”</w:t>
      </w:r>
      <w:r>
        <w:rPr>
          <w:rFonts w:hint="eastAsia"/>
        </w:rPr>
        <w:t>、</w:t>
      </w:r>
      <w:r>
        <w:rPr>
          <w:rFonts w:ascii="µÈÏß Western" w:hAnsi="µÈÏß Western"/>
        </w:rPr>
        <w:t>“</w:t>
      </w:r>
      <w:r>
        <w:rPr>
          <w:rFonts w:hint="eastAsia"/>
        </w:rPr>
        <w:t>国际残疾人日</w:t>
      </w:r>
      <w:r>
        <w:rPr>
          <w:rFonts w:ascii="µÈÏß Western" w:hAnsi="µÈÏß Western"/>
        </w:rPr>
        <w:t>”</w:t>
      </w:r>
      <w:r>
        <w:rPr>
          <w:rFonts w:hint="eastAsia"/>
        </w:rPr>
        <w:t>宣传的社会覆盖面及影响力。</w:t>
      </w:r>
    </w:p>
    <w:p>
      <w:pPr>
        <w:ind w:firstLine="640"/>
      </w:pPr>
      <w:r>
        <w:t>3.</w:t>
      </w:r>
      <w:r>
        <w:rPr>
          <w:rFonts w:hint="eastAsia"/>
        </w:rPr>
        <w:t>大力发展残疾人慈善事业，倡导鼓励公众、企事业单位和社会组织参与扶残助残慈善事业，拓展社会助残慈善资源。</w:t>
      </w:r>
    </w:p>
    <w:p>
      <w:pPr>
        <w:ind w:firstLine="640"/>
      </w:pPr>
      <w:r>
        <w:t xml:space="preserve">4. </w:t>
      </w:r>
      <w:r>
        <w:rPr>
          <w:rFonts w:hint="eastAsia"/>
        </w:rPr>
        <w:t>加强和规范助残志愿服务，在温馨家园建立助残志愿者联络站，推动志愿助残活动向社区、机构和家庭延伸，促进助残志愿服务工作走向专业化、精细化。</w:t>
      </w:r>
    </w:p>
    <w:p>
      <w:pPr>
        <w:pStyle w:val="38"/>
      </w:pPr>
      <w:bookmarkStart w:id="124" w:name="_Toc730"/>
      <w:bookmarkStart w:id="125" w:name="_Toc2074"/>
      <w:bookmarkStart w:id="126" w:name="_Toc10119"/>
      <w:bookmarkStart w:id="127" w:name="_Toc439083875"/>
      <w:bookmarkStart w:id="128" w:name="_Toc29126"/>
      <w:bookmarkStart w:id="129" w:name="_Toc7016"/>
      <w:bookmarkStart w:id="130" w:name="_Toc445132786"/>
      <w:bookmarkStart w:id="131" w:name="_Toc18086"/>
      <w:bookmarkStart w:id="132" w:name="_Toc13929"/>
      <w:bookmarkStart w:id="133" w:name="_Toc460247861"/>
      <w:bookmarkStart w:id="134" w:name="_Toc17884"/>
      <w:bookmarkStart w:id="135" w:name="_Toc27153"/>
      <w:r>
        <w:rPr>
          <w:rFonts w:hint="eastAsia"/>
        </w:rPr>
        <w:t>三、构建新区特色养老服务模式</w:t>
      </w:r>
      <w:bookmarkEnd w:id="124"/>
      <w:bookmarkEnd w:id="125"/>
      <w:bookmarkEnd w:id="126"/>
      <w:bookmarkEnd w:id="127"/>
      <w:bookmarkEnd w:id="128"/>
      <w:bookmarkEnd w:id="129"/>
      <w:bookmarkEnd w:id="130"/>
      <w:bookmarkEnd w:id="131"/>
      <w:bookmarkEnd w:id="132"/>
      <w:bookmarkEnd w:id="133"/>
      <w:bookmarkEnd w:id="134"/>
      <w:bookmarkEnd w:id="135"/>
    </w:p>
    <w:p>
      <w:pPr>
        <w:ind w:firstLine="640"/>
      </w:pPr>
      <w:r>
        <w:rPr>
          <w:rFonts w:hint="eastAsia"/>
        </w:rPr>
        <w:t>抓住和用好重要窗口期，加快构建以居家为基础、社区为依托、机构为补充、专业服务为引领、社会保障制度为支撑的新区特色养老服务体系，及时、科学、综合应对人口老龄化，让全区老年人有更多获得感。</w:t>
      </w:r>
    </w:p>
    <w:p>
      <w:pPr>
        <w:pStyle w:val="39"/>
        <w:spacing w:before="156" w:after="156"/>
      </w:pPr>
      <w:bookmarkStart w:id="136" w:name="_Toc445132787"/>
      <w:bookmarkStart w:id="137" w:name="_Toc20"/>
      <w:bookmarkStart w:id="138" w:name="_Toc10185"/>
      <w:bookmarkStart w:id="139" w:name="_Toc439083876"/>
      <w:bookmarkStart w:id="140" w:name="_Toc460247862"/>
      <w:bookmarkStart w:id="141" w:name="_Toc18456"/>
      <w:bookmarkStart w:id="142" w:name="_Toc25206"/>
      <w:bookmarkStart w:id="143" w:name="_Toc13665"/>
      <w:bookmarkStart w:id="144" w:name="_Toc18113"/>
      <w:bookmarkStart w:id="145" w:name="_Toc436"/>
      <w:bookmarkStart w:id="146" w:name="_Toc2962"/>
      <w:bookmarkStart w:id="147" w:name="_Toc30337"/>
      <w:r>
        <w:rPr>
          <w:rFonts w:hint="eastAsia"/>
        </w:rPr>
        <w:t>（一）完善养老服务体系</w:t>
      </w:r>
      <w:bookmarkEnd w:id="136"/>
      <w:bookmarkEnd w:id="137"/>
      <w:bookmarkEnd w:id="138"/>
      <w:bookmarkEnd w:id="139"/>
      <w:bookmarkEnd w:id="140"/>
      <w:bookmarkEnd w:id="141"/>
      <w:bookmarkEnd w:id="142"/>
      <w:bookmarkEnd w:id="143"/>
      <w:bookmarkEnd w:id="144"/>
      <w:bookmarkEnd w:id="145"/>
      <w:bookmarkEnd w:id="146"/>
      <w:bookmarkEnd w:id="147"/>
    </w:p>
    <w:p>
      <w:pPr>
        <w:ind w:firstLine="640"/>
      </w:pPr>
      <w:r>
        <w:t>1.</w:t>
      </w:r>
      <w:r>
        <w:rPr>
          <w:rFonts w:hint="eastAsia"/>
        </w:rPr>
        <w:t>健全居家养老服务网络。制定新区《关于贯彻落实</w:t>
      </w:r>
      <w:r>
        <w:t>&lt;</w:t>
      </w:r>
      <w:r>
        <w:rPr>
          <w:rFonts w:hint="eastAsia"/>
        </w:rPr>
        <w:t>北京市居家养老服务条例</w:t>
      </w:r>
      <w:r>
        <w:t>&gt;</w:t>
      </w:r>
      <w:r>
        <w:rPr>
          <w:rFonts w:hint="eastAsia"/>
        </w:rPr>
        <w:t>的实施意见》，就近满足老年人就餐、就医、助浴、精神慰藉等基本服务需求。以养老照料中心辐射区为基本单位开展居家养老服务需求调查，建立服务与需求对接、中心运营补贴与服务业绩挂钩等制度，到</w:t>
      </w:r>
      <w:r>
        <w:t>2020</w:t>
      </w:r>
      <w:r>
        <w:rPr>
          <w:rFonts w:hint="eastAsia"/>
        </w:rPr>
        <w:t>年，照料中心能够辐射和满足社区居家基本养老服务需求。统筹家庭康复护理、居家专业护理、社区短期护理、养老机构护理、医疗机构护理等各类护理资源，建成比较完善的养老护理服务链条。建立空巢老人定期探访制度，为高龄、失智、失能、失独、空巢等老人提供紧急救援服务，关爱农村留守老人，健全老年人紧急救援服务网络。</w:t>
      </w:r>
    </w:p>
    <w:p>
      <w:pPr>
        <w:ind w:firstLine="640"/>
      </w:pPr>
      <w:r>
        <w:t>2.</w:t>
      </w:r>
      <w:r>
        <w:rPr>
          <w:rFonts w:hint="eastAsia"/>
        </w:rPr>
        <w:t>加快养老服务设施建设。加快建设区级养老服务指导中心、街镇养老照料中心、社区养老服务驿站，到</w:t>
      </w:r>
      <w:r>
        <w:t>2020</w:t>
      </w:r>
      <w:r>
        <w:rPr>
          <w:rFonts w:hint="eastAsia"/>
        </w:rPr>
        <w:t>年，建成覆盖区、街（镇）和社区（村）三级管理服务网络。摸清城镇社区现有设施情况，研究制定扶持引导政策，鼓励企事业单位和政府部门按国家政策规定利用存量建设用地或培训中心建设养老服务设施。落实街镇养老照料中心建设三年行动计划，统一名称、色彩和标识，新区建设</w:t>
      </w:r>
      <w:r>
        <w:t>11</w:t>
      </w:r>
      <w:r>
        <w:rPr>
          <w:rFonts w:hint="eastAsia"/>
        </w:rPr>
        <w:t>家街镇养老照料中心。推进社区（村）养老服务驿站建设，制定养老服务驿站运营管理办法，与养老照料中心形成优势互补、相互衔接的养老服务联合体。</w:t>
      </w:r>
    </w:p>
    <w:p>
      <w:pPr>
        <w:ind w:firstLine="640"/>
      </w:pPr>
      <w:r>
        <w:t>3.</w:t>
      </w:r>
      <w:r>
        <w:rPr>
          <w:rFonts w:hint="eastAsia"/>
        </w:rPr>
        <w:t>深化养老机构改革。落实《北京市养老服务设施专项规划》，按照“提升存量、保证增量、供需平衡”原则，合理调整养老机构区域布局和结构，提高养老机构床位使用率。到</w:t>
      </w:r>
      <w:r>
        <w:t>2020</w:t>
      </w:r>
      <w:r>
        <w:rPr>
          <w:rFonts w:hint="eastAsia"/>
        </w:rPr>
        <w:t>年，实现每千名户籍老年人养老机构床位数达到</w:t>
      </w:r>
      <w:r>
        <w:t>40</w:t>
      </w:r>
      <w:r>
        <w:rPr>
          <w:rFonts w:hint="eastAsia"/>
        </w:rPr>
        <w:t>张。落实《关于深化公办养老机构管理体制改革的意见》，强化公办养老机构托底保障作用，建立并完善评估登记和分类入住机制，优先保障特殊困难老年人的基本养老服务。到</w:t>
      </w:r>
      <w:r>
        <w:t>2020</w:t>
      </w:r>
      <w:r>
        <w:rPr>
          <w:rFonts w:hint="eastAsia"/>
        </w:rPr>
        <w:t>年，建立起功能明确、运行高效、权责明晰、监管有力的公办养老机构管理服务体系。完善优惠扶持政策，支持政府机关、企事业单位和社会资本参与养老机构建设管理。改造升级农村敬老院，完善农村敬老院养老服务功能。</w:t>
      </w:r>
    </w:p>
    <w:p>
      <w:pPr>
        <w:pStyle w:val="39"/>
        <w:spacing w:before="156" w:after="156"/>
      </w:pPr>
      <w:bookmarkStart w:id="148" w:name="_Toc10848"/>
      <w:bookmarkStart w:id="149" w:name="_Toc20632"/>
      <w:bookmarkStart w:id="150" w:name="_Toc439083877"/>
      <w:bookmarkStart w:id="151" w:name="_Toc24995"/>
      <w:bookmarkStart w:id="152" w:name="_Toc28007"/>
      <w:bookmarkStart w:id="153" w:name="_Toc9593"/>
      <w:bookmarkStart w:id="154" w:name="_Toc32278"/>
      <w:bookmarkStart w:id="155" w:name="_Toc460247863"/>
      <w:bookmarkStart w:id="156" w:name="_Toc14558"/>
      <w:bookmarkStart w:id="157" w:name="_Toc22542"/>
      <w:bookmarkStart w:id="158" w:name="_Toc12621"/>
      <w:bookmarkStart w:id="159" w:name="_Toc445132788"/>
      <w:r>
        <w:rPr>
          <w:rFonts w:hint="eastAsia"/>
        </w:rPr>
        <w:t>（二）实施幸福养老工程</w:t>
      </w:r>
      <w:bookmarkEnd w:id="148"/>
      <w:bookmarkEnd w:id="149"/>
      <w:bookmarkEnd w:id="150"/>
      <w:bookmarkEnd w:id="151"/>
      <w:bookmarkEnd w:id="152"/>
      <w:bookmarkEnd w:id="153"/>
      <w:bookmarkEnd w:id="154"/>
      <w:bookmarkEnd w:id="155"/>
      <w:bookmarkEnd w:id="156"/>
      <w:bookmarkEnd w:id="157"/>
      <w:bookmarkEnd w:id="158"/>
      <w:bookmarkEnd w:id="159"/>
    </w:p>
    <w:p>
      <w:pPr>
        <w:ind w:firstLine="640"/>
      </w:pPr>
      <w:r>
        <w:t>1.</w:t>
      </w:r>
      <w:r>
        <w:rPr>
          <w:rFonts w:hint="eastAsia"/>
        </w:rPr>
        <w:t>健全福利保障制度。加大老年人社会救助力度，提高针对老年人的救助系数。开展失能老年人身体状况和需求评估，为经济困难的失能和高龄老年人发放服务补贴。完善高龄津贴、高龄特困老年人补贴、居家养老服务补贴、老年人意外伤害保险等制度，建立健全各项津贴、补贴标准的科学调整机制。落实居家养老子女护理补贴相关制度，探索购买家庭成员提供的护理照顾服务。根据经济社会发展实际情况，分年龄、分层次确定老年人社会优待范围、优待对象和优待标准，优先满足高龄、失能、贫困、空巢等困难老年群体的特殊需要，逐步发展面向所有老年人的普惠性优待项目。</w:t>
      </w:r>
    </w:p>
    <w:p>
      <w:pPr>
        <w:ind w:firstLine="640"/>
      </w:pPr>
      <w:r>
        <w:t>2.</w:t>
      </w:r>
      <w:r>
        <w:rPr>
          <w:rFonts w:hint="eastAsia"/>
        </w:rPr>
        <w:t>完善养老助餐服务体系。总结推广养老助餐服务试点经验，重点解决高龄、独居、失能等困难老年人的日常就餐难题。支持餐饮企业、养老机构、养老照料中心、养老服务驿站、专业送餐机构和单位内部食堂，通过开设老年餐桌、“中央厨房</w:t>
      </w:r>
      <w:r>
        <w:t>+</w:t>
      </w:r>
      <w:r>
        <w:rPr>
          <w:rFonts w:hint="eastAsia"/>
        </w:rPr>
        <w:t>社区配送”等方式，为社区居家老年人提供餐饮服务。在老年人有需求、村委会有意愿、集体经济可持续发展的村开办老年餐桌。通过政府购买服务方式，为餐饮服务单位和基层社区（村）提供设施改造、设备购置、送餐服务等补助，为经济困难老年人提供餐食和送餐服务补助。到</w:t>
      </w:r>
      <w:r>
        <w:t>2020</w:t>
      </w:r>
      <w:r>
        <w:rPr>
          <w:rFonts w:hint="eastAsia"/>
        </w:rPr>
        <w:t>年，建立起形式多样、机制灵活的养老助餐体系，基本解决老年人就餐难的问题。</w:t>
      </w:r>
    </w:p>
    <w:p>
      <w:pPr>
        <w:ind w:firstLine="640"/>
      </w:pPr>
      <w:r>
        <w:t>3.</w:t>
      </w:r>
      <w:r>
        <w:rPr>
          <w:rFonts w:hint="eastAsia"/>
        </w:rPr>
        <w:t>广泛开展老年人精神关爱。开展文化养老，健全为老文化服务工作机制，支持为老年人提供图书借阅、文艺演出、文化活动、文化辅导和文化培训等服务，丰富老年人文化生活。开通老年维权热线，为老年人提供消费维权、预防诈骗、权益保护等服务。在街（镇）建立心理服务站，在社区（村）设立心理咨询室，培训基层社区心理辅导员，到</w:t>
      </w:r>
      <w:r>
        <w:t>2020</w:t>
      </w:r>
      <w:r>
        <w:rPr>
          <w:rFonts w:hint="eastAsia"/>
        </w:rPr>
        <w:t>年，实现老年人精神关怀服务全覆盖。</w:t>
      </w:r>
    </w:p>
    <w:p>
      <w:pPr>
        <w:ind w:firstLine="640"/>
      </w:pPr>
      <w:r>
        <w:t>4.</w:t>
      </w:r>
      <w:r>
        <w:rPr>
          <w:rFonts w:hint="eastAsia"/>
        </w:rPr>
        <w:t>大力推进宜居环境建设。制定实施老年人家庭无障碍设施改造计划，优先为贫困、病残、高龄、独居、空巢、失能等特殊困难老年人家庭开展改造。支持社会力量与家庭开展居家设施适老化改造。为失能老人家庭租用或购置相关辅具提供补贴支持。为有需求的失智老年人配备防走失手环、为有需求的困难独居老年人安装紧急医疗救援呼叫器和烟感报警器。</w:t>
      </w:r>
    </w:p>
    <w:p>
      <w:pPr>
        <w:pStyle w:val="39"/>
        <w:spacing w:before="156" w:after="156"/>
      </w:pPr>
      <w:bookmarkStart w:id="160" w:name="_Toc20293"/>
      <w:bookmarkStart w:id="161" w:name="_Toc439083878"/>
      <w:bookmarkStart w:id="162" w:name="_Toc1808"/>
      <w:bookmarkStart w:id="163" w:name="_Toc460247864"/>
      <w:bookmarkStart w:id="164" w:name="_Toc10595"/>
      <w:bookmarkStart w:id="165" w:name="_Toc445132789"/>
      <w:bookmarkStart w:id="166" w:name="_Toc14421"/>
      <w:bookmarkStart w:id="167" w:name="_Toc5193"/>
      <w:bookmarkStart w:id="168" w:name="_Toc11448"/>
      <w:bookmarkStart w:id="169" w:name="_Toc9492"/>
      <w:bookmarkStart w:id="170" w:name="_Toc25221"/>
      <w:bookmarkStart w:id="171" w:name="_Toc1443"/>
      <w:r>
        <w:rPr>
          <w:rFonts w:hint="eastAsia"/>
        </w:rPr>
        <w:t>（三）实现重点领域突破</w:t>
      </w:r>
      <w:bookmarkEnd w:id="160"/>
      <w:bookmarkEnd w:id="161"/>
      <w:bookmarkEnd w:id="162"/>
      <w:bookmarkEnd w:id="163"/>
      <w:bookmarkEnd w:id="164"/>
      <w:bookmarkEnd w:id="165"/>
      <w:bookmarkEnd w:id="166"/>
      <w:bookmarkEnd w:id="167"/>
      <w:bookmarkEnd w:id="168"/>
      <w:bookmarkEnd w:id="169"/>
      <w:bookmarkEnd w:id="170"/>
      <w:bookmarkEnd w:id="171"/>
    </w:p>
    <w:p>
      <w:pPr>
        <w:ind w:firstLine="640"/>
      </w:pPr>
      <w:r>
        <w:t>1.</w:t>
      </w:r>
      <w:r>
        <w:rPr>
          <w:rFonts w:hint="eastAsia"/>
        </w:rPr>
        <w:t>深入推进医养结合。构建养老、医疗相互衔接的服务模式，实现医养融合发展。鼓励养老机构内设医疗机构或与医疗卫生服务机构签订合作协议，支持医疗机构开办养老机构，实现养老机构护养型床位达总床位数的</w:t>
      </w:r>
      <w:r>
        <w:t>70%</w:t>
      </w:r>
      <w:r>
        <w:rPr>
          <w:rFonts w:hint="eastAsia"/>
        </w:rPr>
        <w:t>。建立完善老年人评估制度体系。</w:t>
      </w:r>
    </w:p>
    <w:p>
      <w:pPr>
        <w:ind w:firstLine="640"/>
      </w:pPr>
      <w:r>
        <w:t>2.</w:t>
      </w:r>
      <w:r>
        <w:rPr>
          <w:rFonts w:hint="eastAsia"/>
        </w:rPr>
        <w:t>推进“互联网</w:t>
      </w:r>
      <w:r>
        <w:t>+</w:t>
      </w:r>
      <w:r>
        <w:rPr>
          <w:rFonts w:hint="eastAsia"/>
        </w:rPr>
        <w:t>养老”。整合区、街（镇）、社区（村）三级为老服务信息平台，建设新区统一的养老服务业务管理平台。开展老年人需求评估和养老服务项目登记，建立老年人口数据库，实现民政、公安、卫生、社保系统老年人口数据对接。按照全市推进“北京通”工程的总体部署，完成养老助残卡和老年优待卡整合为“北京通”，增加社会福利、优待服务、消费优惠、信用服务和综合金融等功能，打造老年人专属“金卡”，实现老年人“今天退休，明天领卡”。</w:t>
      </w:r>
    </w:p>
    <w:p>
      <w:pPr>
        <w:ind w:firstLine="640"/>
      </w:pPr>
      <w:r>
        <w:t>3.</w:t>
      </w:r>
      <w:r>
        <w:rPr>
          <w:rFonts w:hint="eastAsia"/>
        </w:rPr>
        <w:t>加强服务队伍建设。充分发挥职业院校、社会服务机构的作用，创新人才培养模式，培育老年医学、康复护理、膳食营养、心理慰藉等专业人才。建立养老护理员补贴制度，为护理员提供社保缴费补贴、教育培训补贴等。通过政府购买服务方式，为居家养老服务机构管理人员、服务人员和护理人员提供职业培训、职业教育和继续教育，为家庭照护者、为老服务志愿者提供技能培训，支持社会互助养老，建成一支养老服务人员、社会工作者、志愿者相结合的养老服务队伍。</w:t>
      </w:r>
      <w:bookmarkStart w:id="172" w:name="_Toc459664439"/>
      <w:bookmarkStart w:id="173" w:name="_Toc459664780"/>
      <w:bookmarkStart w:id="174" w:name="_Toc459664972"/>
    </w:p>
    <w:p>
      <w:pPr>
        <w:pStyle w:val="38"/>
      </w:pPr>
      <w:bookmarkStart w:id="175" w:name="_Toc460247865"/>
      <w:r>
        <w:rPr>
          <w:rFonts w:hint="eastAsia"/>
        </w:rPr>
        <w:t>四、加强和创新社会治理</w:t>
      </w:r>
      <w:bookmarkEnd w:id="172"/>
      <w:bookmarkEnd w:id="173"/>
      <w:bookmarkEnd w:id="174"/>
      <w:bookmarkEnd w:id="175"/>
    </w:p>
    <w:p>
      <w:pPr>
        <w:spacing w:line="600" w:lineRule="exact"/>
        <w:ind w:firstLine="640"/>
      </w:pPr>
      <w:r>
        <w:rPr>
          <w:rFonts w:hint="eastAsia"/>
        </w:rPr>
        <w:t>以建立现代化社会治理体系为目标，促进街道（镇）服务管理创新，推动街道（镇）服务管理和社区、社会组织、社会工作者有效衔接和良性互动，构建多元主体共建共享共治格局。</w:t>
      </w:r>
    </w:p>
    <w:p>
      <w:pPr>
        <w:pStyle w:val="39"/>
        <w:spacing w:before="156" w:after="156"/>
      </w:pPr>
      <w:bookmarkStart w:id="176" w:name="_Toc459664973"/>
      <w:bookmarkStart w:id="177" w:name="_Toc459664440"/>
      <w:bookmarkStart w:id="178" w:name="_Toc460247866"/>
      <w:r>
        <w:rPr>
          <w:rFonts w:hint="eastAsia"/>
        </w:rPr>
        <w:t>（一）深化社会组织管理体制改革</w:t>
      </w:r>
      <w:bookmarkEnd w:id="176"/>
      <w:bookmarkEnd w:id="177"/>
      <w:bookmarkEnd w:id="178"/>
    </w:p>
    <w:p>
      <w:pPr>
        <w:ind w:firstLine="640"/>
      </w:pPr>
      <w:bookmarkStart w:id="179" w:name="_Toc459664441"/>
      <w:bookmarkStart w:id="180" w:name="_Toc459664974"/>
      <w:r>
        <w:t>1.</w:t>
      </w:r>
      <w:r>
        <w:rPr>
          <w:rFonts w:hint="eastAsia"/>
        </w:rPr>
        <w:t>建立混合型登记体制</w:t>
      </w:r>
      <w:bookmarkEnd w:id="179"/>
      <w:bookmarkEnd w:id="180"/>
      <w:r>
        <w:rPr>
          <w:rFonts w:hint="eastAsia"/>
        </w:rPr>
        <w:t>。对公益慈善类等四类社会组织改双重管理为直接登记；对政治法律类、宗教类社会组织，实行双重负责的登记管理制度；对不具备登记条件的社会组织予以备案，建成直接登记、双重管理、备案管理并存的新型混合登记管理体制。推动民办非企业单位转型为社会服务机构。</w:t>
      </w:r>
    </w:p>
    <w:p>
      <w:pPr>
        <w:ind w:firstLine="640"/>
      </w:pPr>
      <w:bookmarkStart w:id="181" w:name="_Toc459664975"/>
      <w:bookmarkStart w:id="182" w:name="_Toc459664442"/>
      <w:r>
        <w:t>2.</w:t>
      </w:r>
      <w:bookmarkEnd w:id="181"/>
      <w:bookmarkEnd w:id="182"/>
      <w:r>
        <w:rPr>
          <w:rFonts w:hint="eastAsia"/>
        </w:rPr>
        <w:t>创新培育扶持方式。大力培育不同功能类型、立足本地资源、服务社区的基层社会组织，到</w:t>
      </w:r>
      <w:r>
        <w:t>2020</w:t>
      </w:r>
      <w:r>
        <w:rPr>
          <w:rFonts w:hint="eastAsia"/>
        </w:rPr>
        <w:t>年，平均每个社区拥有社区社会组织数量达</w:t>
      </w:r>
      <w:r>
        <w:t>5</w:t>
      </w:r>
      <w:r>
        <w:rPr>
          <w:rFonts w:hint="eastAsia"/>
        </w:rPr>
        <w:t>个。统筹事业单位改革与社会组织发展，逐步转交适合社会组织承担的公共服务职能，逐步扩大政府向社会组织购买服务的范围和规模。深化政社分开，推进行业协会商会与行政机关脱钩工作，党政机关领导干部和离退休人员实现逐步退出。探索建立公共财政对社会组织支持机制，成立社区社会组织孵化中心。有计划有重点扶持一些品牌性社会组织。鼓励社会组织参政议政。</w:t>
      </w:r>
    </w:p>
    <w:p>
      <w:pPr>
        <w:ind w:firstLine="640"/>
      </w:pPr>
      <w:bookmarkStart w:id="183" w:name="_Toc459664976"/>
      <w:bookmarkStart w:id="184" w:name="_Toc459664443"/>
      <w:r>
        <w:t>3.</w:t>
      </w:r>
      <w:r>
        <w:rPr>
          <w:rFonts w:hint="eastAsia"/>
        </w:rPr>
        <w:t>构建综合监管体系</w:t>
      </w:r>
      <w:bookmarkEnd w:id="183"/>
      <w:bookmarkEnd w:id="184"/>
      <w:r>
        <w:rPr>
          <w:rFonts w:hint="eastAsia"/>
        </w:rPr>
        <w:t>。建立政府监管为主导、社会监督为主体、行业自治为支撑、法律监督为底线的综合监管体系。对社会组织进行科学分类，建立分类管理制度，实行分类年检和评估，全面推行第三方审计和第三方评估。加强社会组织信息公开，创新社会组织信用评价体系，探索建立违法失信社会组织黑名单制度。完善以法人治理为中心的治理结构，推进决策、执行、监督相分离，提升自治水平。实现社会组织党组织建设全覆盖，强化社会组织自律诚信建设。开展社会组织专项清理整顿活动，健全社会组织退出机制。</w:t>
      </w:r>
    </w:p>
    <w:p>
      <w:pPr>
        <w:pStyle w:val="39"/>
        <w:spacing w:before="156" w:after="156"/>
      </w:pPr>
      <w:bookmarkStart w:id="185" w:name="_Toc459664444"/>
      <w:bookmarkStart w:id="186" w:name="_Toc459664977"/>
      <w:bookmarkStart w:id="187" w:name="_Toc460247867"/>
      <w:r>
        <w:rPr>
          <w:rFonts w:hint="eastAsia"/>
        </w:rPr>
        <w:t>（二）完善基层社会治理</w:t>
      </w:r>
      <w:bookmarkEnd w:id="185"/>
      <w:bookmarkEnd w:id="186"/>
      <w:bookmarkEnd w:id="187"/>
    </w:p>
    <w:p>
      <w:pPr>
        <w:ind w:firstLine="640"/>
      </w:pPr>
      <w:bookmarkStart w:id="188" w:name="_Toc459664978"/>
      <w:bookmarkStart w:id="189" w:name="_Toc459664445"/>
      <w:r>
        <w:t>1.</w:t>
      </w:r>
      <w:r>
        <w:rPr>
          <w:rFonts w:hint="eastAsia"/>
        </w:rPr>
        <w:t>深化街道管理体制改革</w:t>
      </w:r>
      <w:bookmarkEnd w:id="188"/>
      <w:bookmarkEnd w:id="189"/>
      <w:r>
        <w:rPr>
          <w:rFonts w:hint="eastAsia"/>
        </w:rPr>
        <w:t>。落实《关于深化街道社区管理体制改革的意见》，强化街道统筹辖区管理、监督专业力量、组织公共服务、动员社会参与、维护地区稳定等方面职责任务，对区政府职能部门派出机构工作进行考核评价和民主评议。</w:t>
      </w:r>
    </w:p>
    <w:p>
      <w:pPr>
        <w:ind w:firstLine="640"/>
      </w:pPr>
      <w:bookmarkStart w:id="190" w:name="_Toc459664446"/>
      <w:bookmarkStart w:id="191" w:name="_Toc459664979"/>
      <w:r>
        <w:t>2.</w:t>
      </w:r>
      <w:bookmarkEnd w:id="190"/>
      <w:bookmarkEnd w:id="191"/>
      <w:r>
        <w:rPr>
          <w:rFonts w:hint="eastAsia"/>
        </w:rPr>
        <w:t>建设街道（镇）综合性服务设施。强化街道（镇）公共服务功能，推动街道（镇）公共服务供给侧改革。建立和规范街道（镇）政务服务中心，面向群众开展“一站式”综合性服务，规范办事流程、标识标牌和信息管理系统，逐步实现公共服务事项在各街道通办。整合街道（镇）社区服务中心、文体活动中心、活动室等资源，构建跨部门的综合服务平台，让居民能够就近获取各类公益服务和便民服务，就近开展文化、体育、娱乐等日常活动。</w:t>
      </w:r>
    </w:p>
    <w:p>
      <w:pPr>
        <w:ind w:firstLine="640"/>
      </w:pPr>
      <w:bookmarkStart w:id="192" w:name="_Toc459664980"/>
      <w:bookmarkStart w:id="193" w:name="_Toc459664447"/>
      <w:r>
        <w:t>3.</w:t>
      </w:r>
      <w:r>
        <w:rPr>
          <w:rFonts w:hint="eastAsia"/>
        </w:rPr>
        <w:t>推进社区减负增效</w:t>
      </w:r>
      <w:bookmarkEnd w:id="192"/>
      <w:bookmarkEnd w:id="193"/>
      <w:r>
        <w:rPr>
          <w:rFonts w:hint="eastAsia"/>
        </w:rPr>
        <w:t>。健全完善社区公共服务事项准入制度，制定社区居民委员会公共服务事项清单。取消社区层面的各类评比考核项目，清理各职能部门在社区设立的工作机构、工作台账等，切实减轻社区居民委员会工作负担。凡属于区政府及其职能部门、街道办事处职责范围内的事项，不得转嫁给社区居民委员会。推动社区居委会和服务站职能分开，将工作重心转向居民事务的议事、决策、监督，强化社区服务站公共服务职能，就近为居民办理公共事务。</w:t>
      </w:r>
    </w:p>
    <w:p>
      <w:pPr>
        <w:ind w:firstLine="640"/>
      </w:pPr>
      <w:bookmarkStart w:id="194" w:name="_Toc459664981"/>
      <w:bookmarkStart w:id="195" w:name="_Toc459664448"/>
      <w:r>
        <w:t>4.</w:t>
      </w:r>
      <w:r>
        <w:rPr>
          <w:rFonts w:hint="eastAsia"/>
        </w:rPr>
        <w:t>推进社区民主协商</w:t>
      </w:r>
      <w:bookmarkEnd w:id="194"/>
      <w:bookmarkEnd w:id="195"/>
      <w:r>
        <w:rPr>
          <w:rFonts w:hint="eastAsia"/>
        </w:rPr>
        <w:t>。认真做好村委会、居委会换届选举，到</w:t>
      </w:r>
      <w:r>
        <w:t>2020</w:t>
      </w:r>
      <w:r>
        <w:rPr>
          <w:rFonts w:hint="eastAsia"/>
        </w:rPr>
        <w:t>年，提高新区社区户代表选举和直接选举比例达</w:t>
      </w:r>
      <w:r>
        <w:t>80%</w:t>
      </w:r>
      <w:r>
        <w:rPr>
          <w:rFonts w:hint="eastAsia"/>
        </w:rPr>
        <w:t>以上。全面推广社区“参与式协商”自治模式，在社区建立“议事厅”，健全社区社情民意收集、协商议事办理及监督评议机制，实现基层民主协商制度化。指导修订居民公约、村规民约，将德孝理念和公民道德规范的主要内容纳入其中，上升为行为准则和规范，培育一批以德治理的典型社区。</w:t>
      </w:r>
    </w:p>
    <w:p>
      <w:pPr>
        <w:ind w:firstLine="640"/>
      </w:pPr>
      <w:bookmarkStart w:id="196" w:name="_Toc459664982"/>
      <w:bookmarkStart w:id="197" w:name="_Toc459664449"/>
      <w:r>
        <w:t>5.</w:t>
      </w:r>
      <w:r>
        <w:rPr>
          <w:rFonts w:hint="eastAsia"/>
        </w:rPr>
        <w:t>加强农村社区建设</w:t>
      </w:r>
      <w:bookmarkEnd w:id="196"/>
      <w:bookmarkEnd w:id="197"/>
      <w:r>
        <w:rPr>
          <w:rFonts w:hint="eastAsia"/>
        </w:rPr>
        <w:t>。将农村社区建设纳入新农村建设总体规划，借鉴农村社区建设试点经验，加大对农村社区建设扶持力度。统筹城乡社区建设，不断缩小城乡在公共教育、医疗卫生、社会保障、服务设施等方面的差距。改善农村社区基础条件，建设以社区服务中心综合服务设施为主体，以其他专项服务设施为配套、社区服务站点为补充的农村公共服务平台，构建农村公共服务体系。</w:t>
      </w:r>
    </w:p>
    <w:p>
      <w:pPr>
        <w:pStyle w:val="39"/>
        <w:spacing w:before="156" w:after="156"/>
      </w:pPr>
      <w:bookmarkStart w:id="198" w:name="_Toc459664450"/>
      <w:bookmarkStart w:id="199" w:name="_Toc460247868"/>
      <w:bookmarkStart w:id="200" w:name="_Toc459664983"/>
      <w:r>
        <w:rPr>
          <w:rFonts w:hint="eastAsia"/>
        </w:rPr>
        <w:t>（三）加快社工人才队伍和志愿者队伍建设</w:t>
      </w:r>
      <w:bookmarkEnd w:id="198"/>
      <w:bookmarkEnd w:id="199"/>
      <w:bookmarkEnd w:id="200"/>
    </w:p>
    <w:p>
      <w:pPr>
        <w:ind w:firstLine="640"/>
      </w:pPr>
      <w:bookmarkStart w:id="201" w:name="_Toc459664451"/>
      <w:bookmarkStart w:id="202" w:name="_Toc459664984"/>
      <w:r>
        <w:t>1.</w:t>
      </w:r>
      <w:r>
        <w:rPr>
          <w:rFonts w:hint="eastAsia"/>
        </w:rPr>
        <w:t>推动社工职业化、专业化发展</w:t>
      </w:r>
      <w:bookmarkEnd w:id="201"/>
      <w:bookmarkEnd w:id="202"/>
      <w:r>
        <w:rPr>
          <w:rFonts w:hint="eastAsia"/>
        </w:rPr>
        <w:t>。建立健全社会工作专业人才激励保障政策。加强社工人才培训、督导和继续教育，实现在职在岗培训率</w:t>
      </w:r>
      <w:r>
        <w:t>100%</w:t>
      </w:r>
      <w:r>
        <w:rPr>
          <w:rFonts w:hint="eastAsia"/>
        </w:rPr>
        <w:t>。到</w:t>
      </w:r>
      <w:r>
        <w:t>2020</w:t>
      </w:r>
      <w:r>
        <w:rPr>
          <w:rFonts w:hint="eastAsia"/>
        </w:rPr>
        <w:t>年，持社会工作者职业证书的社区工作者占社区工作者总人数比例提高到</w:t>
      </w:r>
      <w:r>
        <w:t>50%</w:t>
      </w:r>
      <w:r>
        <w:rPr>
          <w:rFonts w:hint="eastAsia"/>
        </w:rPr>
        <w:t>。</w:t>
      </w:r>
    </w:p>
    <w:p>
      <w:pPr>
        <w:ind w:firstLine="640"/>
      </w:pPr>
      <w:bookmarkStart w:id="203" w:name="_Toc459664985"/>
      <w:bookmarkStart w:id="204" w:name="_Toc459664452"/>
      <w:r>
        <w:t>2.</w:t>
      </w:r>
      <w:r>
        <w:rPr>
          <w:rFonts w:hint="eastAsia"/>
        </w:rPr>
        <w:t>促进社会工作在民政领域应用</w:t>
      </w:r>
      <w:bookmarkEnd w:id="203"/>
      <w:bookmarkEnd w:id="204"/>
      <w:r>
        <w:rPr>
          <w:rFonts w:hint="eastAsia"/>
        </w:rPr>
        <w:t>。完善民政领域社工岗位设置，在养老院、养老照料中心、福利院、救助站、殡仪馆、光荣院等机构普遍设立专职社工岗位。采取政府购买服务项目的方式，将社会工作广泛应用于城乡社区、社会救助、社会组织、专项事务管理等领域，以专业社会工作理念和方法，全面提升民政管理服务水平。</w:t>
      </w:r>
    </w:p>
    <w:p>
      <w:pPr>
        <w:ind w:firstLine="640"/>
      </w:pPr>
      <w:bookmarkStart w:id="205" w:name="_Toc459664453"/>
      <w:bookmarkStart w:id="206" w:name="_Toc459664986"/>
      <w:r>
        <w:t>3.</w:t>
      </w:r>
      <w:r>
        <w:rPr>
          <w:rFonts w:hint="eastAsia"/>
        </w:rPr>
        <w:t>健全社会工作服务网络</w:t>
      </w:r>
      <w:bookmarkEnd w:id="205"/>
      <w:bookmarkEnd w:id="206"/>
      <w:r>
        <w:rPr>
          <w:rFonts w:hint="eastAsia"/>
        </w:rPr>
        <w:t>。推动教育、卫生、司法等部门，以及学校、医院、青少年服务、社区矫正、人口计生等服务机构开发社工岗位。完善政府购买社会工作服务制度，制定政府购买民办社工机构服务目录。建立区一级社会工作行业组织，发挥协调、服务和监督等作用，促进行业发展。</w:t>
      </w:r>
    </w:p>
    <w:p>
      <w:pPr>
        <w:pStyle w:val="39"/>
        <w:spacing w:before="156" w:after="156"/>
      </w:pPr>
      <w:bookmarkStart w:id="207" w:name="_Toc459664454"/>
      <w:bookmarkStart w:id="208" w:name="_Toc459664987"/>
      <w:bookmarkStart w:id="209" w:name="_Toc460247869"/>
      <w:r>
        <w:rPr>
          <w:rFonts w:hint="eastAsia"/>
        </w:rPr>
        <w:t>（四）深入推进“三社联动”</w:t>
      </w:r>
      <w:bookmarkEnd w:id="207"/>
      <w:bookmarkEnd w:id="208"/>
      <w:bookmarkEnd w:id="209"/>
    </w:p>
    <w:p>
      <w:pPr>
        <w:ind w:firstLine="640"/>
      </w:pPr>
      <w:bookmarkStart w:id="210" w:name="_Toc459664988"/>
      <w:bookmarkStart w:id="211" w:name="_Toc459664455"/>
      <w:r>
        <w:t>1.</w:t>
      </w:r>
      <w:r>
        <w:rPr>
          <w:rFonts w:hint="eastAsia"/>
        </w:rPr>
        <w:t>完善联动机制</w:t>
      </w:r>
      <w:bookmarkEnd w:id="210"/>
      <w:bookmarkEnd w:id="211"/>
      <w:r>
        <w:rPr>
          <w:rFonts w:hint="eastAsia"/>
        </w:rPr>
        <w:t>。落实《关于加快“三社联动”推动基层社会治理创新的意见》，厘清政府、社区、社会组织、社会工作专业人才的职能定位，建立覆盖区、街道（镇）的联动服务新模式。建立多方联席会议制度，搭建“三社联动”综合服务管理平台，定期开展项目发包、信息发布，实现供需有效对接。</w:t>
      </w:r>
    </w:p>
    <w:p>
      <w:pPr>
        <w:ind w:firstLine="640"/>
      </w:pPr>
      <w:bookmarkStart w:id="212" w:name="_Toc459664989"/>
      <w:bookmarkStart w:id="213" w:name="_Toc459664456"/>
      <w:r>
        <w:t>2.</w:t>
      </w:r>
      <w:r>
        <w:rPr>
          <w:rFonts w:hint="eastAsia"/>
        </w:rPr>
        <w:t>拓展联动内容</w:t>
      </w:r>
      <w:bookmarkEnd w:id="212"/>
      <w:bookmarkEnd w:id="213"/>
      <w:r>
        <w:rPr>
          <w:rFonts w:hint="eastAsia"/>
        </w:rPr>
        <w:t>。通过政府购买社工机构服务的方式，开展促进社会福利、社会救助、慈善、优抚安置、婚姻家庭等政策落实的服务；为养老照料中心、居家养老、温馨家园、社区服务中心（站）等提供专业支持；为老年人、青少年儿童、残疾人和失独、低保等特殊困难家庭提供缓解压力、疏导情绪、精神慰藉、社会参与、支持网络建构、改善家庭和社区关系、恢复和发展社会功能等政策延展性服务。推进“社工带义工”，发挥社工人才专业优势，提升社区工作者、社区志愿者专业技能，组织引导更多社会力量参与社区服务管理。</w:t>
      </w:r>
    </w:p>
    <w:p>
      <w:pPr>
        <w:ind w:firstLine="640"/>
      </w:pPr>
      <w:bookmarkStart w:id="214" w:name="_Toc459664457"/>
      <w:bookmarkStart w:id="215" w:name="_Toc459664990"/>
      <w:r>
        <w:t>3.</w:t>
      </w:r>
      <w:r>
        <w:rPr>
          <w:rFonts w:hint="eastAsia"/>
        </w:rPr>
        <w:t>创新联动模式</w:t>
      </w:r>
      <w:bookmarkEnd w:id="214"/>
      <w:bookmarkEnd w:id="215"/>
      <w:r>
        <w:rPr>
          <w:rFonts w:hint="eastAsia"/>
        </w:rPr>
        <w:t>。在政府主导下，建立社区、社会组织和社会工作专业人才相互依存、联合互动的关系模式。建立“三社”联动项目发布、服务购买、资金管理、绩效评估等制度，以服务项目为统筹，促进社区、社会组织与社会工作深度融合。建立区、街道（镇）资金投入机制，加大福彩公益金投入，调动公益慈善资源，形成多渠道、多元化的“三社联动”资金投入模式。整合社区、社会组织、社工信息网络资源，增设“三社联动”服务管理功能，利用信息技术提升“三社”联动服务效能。</w:t>
      </w:r>
      <w:bookmarkStart w:id="216" w:name="_Toc459664991"/>
      <w:bookmarkStart w:id="217" w:name="_Toc459664458"/>
      <w:bookmarkStart w:id="218" w:name="_Toc459664781"/>
    </w:p>
    <w:p>
      <w:pPr>
        <w:pStyle w:val="38"/>
        <w:rPr>
          <w:rFonts w:ascii="仿宋" w:hAnsi="仿宋" w:eastAsia="仿宋"/>
          <w:kern w:val="0"/>
          <w:u w:color="000000"/>
        </w:rPr>
      </w:pPr>
      <w:bookmarkStart w:id="219" w:name="_Toc460247870"/>
      <w:r>
        <w:rPr>
          <w:rFonts w:hint="eastAsia"/>
        </w:rPr>
        <w:t>五、推进社会服务产业发展</w:t>
      </w:r>
      <w:bookmarkEnd w:id="216"/>
      <w:bookmarkEnd w:id="217"/>
      <w:bookmarkEnd w:id="218"/>
      <w:bookmarkEnd w:id="219"/>
    </w:p>
    <w:p>
      <w:pPr>
        <w:adjustRightInd w:val="0"/>
        <w:snapToGrid w:val="0"/>
        <w:spacing w:line="600" w:lineRule="exact"/>
        <w:ind w:firstLine="640"/>
      </w:pPr>
      <w:r>
        <w:rPr>
          <w:rFonts w:hint="eastAsia"/>
        </w:rPr>
        <w:t>主动适应民政对象消费需求转型升级新要求，全面推进社会服务产业创新发展，打造服务产业集群，满足群众多样化、个性化的需求。</w:t>
      </w:r>
    </w:p>
    <w:p>
      <w:pPr>
        <w:pStyle w:val="39"/>
        <w:spacing w:before="156" w:after="156"/>
      </w:pPr>
      <w:bookmarkStart w:id="220" w:name="_Toc459664992"/>
      <w:bookmarkStart w:id="221" w:name="_Toc460247871"/>
      <w:bookmarkStart w:id="222" w:name="_Toc459664459"/>
      <w:r>
        <w:rPr>
          <w:rFonts w:hint="eastAsia"/>
        </w:rPr>
        <w:t>（一）全面推进民政服务产业提质增效</w:t>
      </w:r>
      <w:bookmarkEnd w:id="220"/>
      <w:bookmarkEnd w:id="221"/>
      <w:bookmarkEnd w:id="222"/>
    </w:p>
    <w:p>
      <w:pPr>
        <w:adjustRightInd w:val="0"/>
        <w:snapToGrid w:val="0"/>
        <w:spacing w:line="600" w:lineRule="exact"/>
        <w:ind w:firstLine="640"/>
      </w:pPr>
      <w:r>
        <w:rPr>
          <w:rFonts w:hint="eastAsia"/>
        </w:rPr>
        <w:t>深化民政服务市场化改革，推进民政服务由政府包办、直管直办向政府主导、社会主办、市场化运作、多元化发展转变。</w:t>
      </w:r>
      <w:r>
        <w:t>2018</w:t>
      </w:r>
      <w:r>
        <w:rPr>
          <w:rFonts w:hint="eastAsia"/>
        </w:rPr>
        <w:t>年前，基本实现非公益性民政服务全部从行政性经营转向市场化经营、从事业化管理转向企业化管理。有序开放民政服务市场，引入社会资本和市场主体参与。健全培育多元市场主体扶持政策，协调解决市场主体面临的土地、融资、信息、人才等难题。坚持管行业必管风险的原则，建立多部门协同机制，提升行业监管能力，基本形成公平竞争、依法监管、安全有序的民政服务市场。</w:t>
      </w:r>
    </w:p>
    <w:p>
      <w:pPr>
        <w:pStyle w:val="39"/>
        <w:spacing w:before="156" w:after="156"/>
      </w:pPr>
      <w:bookmarkStart w:id="223" w:name="_Toc459664460"/>
      <w:bookmarkStart w:id="224" w:name="_Toc459664993"/>
      <w:bookmarkStart w:id="225" w:name="_Toc460247872"/>
      <w:r>
        <w:rPr>
          <w:rFonts w:hint="eastAsia"/>
        </w:rPr>
        <w:t>（二）加快养老服务业发展</w:t>
      </w:r>
      <w:bookmarkEnd w:id="223"/>
      <w:bookmarkEnd w:id="224"/>
      <w:bookmarkEnd w:id="225"/>
    </w:p>
    <w:p>
      <w:pPr>
        <w:ind w:firstLine="640"/>
      </w:pPr>
      <w:bookmarkStart w:id="226" w:name="_Toc459664461"/>
      <w:bookmarkStart w:id="227" w:name="_Toc459664994"/>
      <w:r>
        <w:t>1.</w:t>
      </w:r>
      <w:r>
        <w:rPr>
          <w:rFonts w:hint="eastAsia"/>
        </w:rPr>
        <w:t>创新养老产业投融资方式</w:t>
      </w:r>
      <w:bookmarkEnd w:id="226"/>
      <w:bookmarkEnd w:id="227"/>
      <w:r>
        <w:rPr>
          <w:rFonts w:hint="eastAsia"/>
        </w:rPr>
        <w:t>。全面推进养老机构公办民营改革，到</w:t>
      </w:r>
      <w:r>
        <w:t>2020</w:t>
      </w:r>
      <w:r>
        <w:rPr>
          <w:rFonts w:hint="eastAsia"/>
        </w:rPr>
        <w:t>年，力争条件成熟的区、街（镇）级公办养老机构全部实现公建民营。推动政府购买养老服务，优先保障经济困难的孤寡、失能、高龄等老年人服务需求，逐步拓展政府购买养老服务的领域和范围。加大养老服务金融支持力度，通过各种方式，扶持社会力量投资养老服务。推广政府与社会资本合作，引导社会资本加速进入养老服务领域。</w:t>
      </w:r>
    </w:p>
    <w:p>
      <w:pPr>
        <w:ind w:firstLine="640"/>
        <w:rPr>
          <w:rFonts w:ascii="仿宋" w:hAnsi="仿宋" w:eastAsia="仿宋" w:cs="宋体"/>
          <w:u w:color="000000"/>
        </w:rPr>
      </w:pPr>
      <w:bookmarkStart w:id="228" w:name="_Toc459664995"/>
      <w:bookmarkStart w:id="229" w:name="_Toc459664462"/>
      <w:r>
        <w:t>2.</w:t>
      </w:r>
      <w:r>
        <w:rPr>
          <w:rFonts w:hint="eastAsia"/>
        </w:rPr>
        <w:t>创新养老服务组织运营模式</w:t>
      </w:r>
      <w:bookmarkEnd w:id="228"/>
      <w:bookmarkEnd w:id="229"/>
      <w:r>
        <w:rPr>
          <w:rFonts w:hint="eastAsia"/>
        </w:rPr>
        <w:t>。支持采取股份制、股份合作制等形式，探索以基础设施“建设</w:t>
      </w:r>
      <w:r>
        <w:rPr>
          <w:rFonts w:ascii="µÈÏß Western" w:hAnsi="µÈÏß Western"/>
        </w:rPr>
        <w:t>—</w:t>
      </w:r>
      <w:r>
        <w:rPr>
          <w:rFonts w:hint="eastAsia"/>
        </w:rPr>
        <w:t>运营</w:t>
      </w:r>
      <w:r>
        <w:rPr>
          <w:rFonts w:ascii="µÈÏß Western" w:hAnsi="µÈÏß Western"/>
        </w:rPr>
        <w:t>—</w:t>
      </w:r>
      <w:r>
        <w:rPr>
          <w:rFonts w:hint="eastAsia"/>
        </w:rPr>
        <w:t>移交”模式建设养老服务设施。鼓励和引导金融机构创新金融产品和服务方式，拓宽信贷抵押担保范围，探索信用担保等方式，加大对涉老企业及其建设项目的信贷投入。</w:t>
      </w:r>
    </w:p>
    <w:p>
      <w:pPr>
        <w:ind w:firstLine="640"/>
      </w:pPr>
      <w:bookmarkStart w:id="230" w:name="_Toc459664996"/>
      <w:bookmarkStart w:id="231" w:name="_Toc459664463"/>
      <w:r>
        <w:t>3.</w:t>
      </w:r>
      <w:r>
        <w:rPr>
          <w:rFonts w:hint="eastAsia"/>
        </w:rPr>
        <w:t>培育壮大养老服务企业主体</w:t>
      </w:r>
      <w:bookmarkEnd w:id="230"/>
      <w:bookmarkEnd w:id="231"/>
      <w:r>
        <w:rPr>
          <w:rFonts w:hint="eastAsia"/>
        </w:rPr>
        <w:t>。全面放开养老服务市场，构建公平竞争的市场环境，支持各类市场主体参与养老服务。鼓励中小型养老服务企业创新服务形式，开展多种方式的养老服务经营活动。制定扶持政策，鼓励有实力的养老服务企业开展连锁化、集团化经营，走产业化发展道路。</w:t>
      </w:r>
    </w:p>
    <w:p>
      <w:pPr>
        <w:ind w:firstLine="640"/>
      </w:pPr>
      <w:r>
        <w:t>4.</w:t>
      </w:r>
      <w:r>
        <w:rPr>
          <w:rFonts w:hint="eastAsia"/>
        </w:rPr>
        <w:t>推动京津冀养老服务协调发展。充分利用京津冀协同发展优惠政策，加强三地养老服务工作机制对接，明确养老服务领域合作路径和运行机制，谋求项目合作和产业链衔接，形成互补互利养老服务集群。</w:t>
      </w:r>
    </w:p>
    <w:p>
      <w:pPr>
        <w:pStyle w:val="39"/>
        <w:spacing w:before="156" w:after="156"/>
      </w:pPr>
      <w:bookmarkStart w:id="232" w:name="_Toc459664464"/>
      <w:bookmarkStart w:id="233" w:name="_Toc460247873"/>
      <w:bookmarkStart w:id="234" w:name="_Toc459664997"/>
      <w:r>
        <w:rPr>
          <w:rFonts w:hint="eastAsia"/>
        </w:rPr>
        <w:t>（三）做大社区服务产业</w:t>
      </w:r>
      <w:bookmarkEnd w:id="232"/>
      <w:bookmarkEnd w:id="233"/>
      <w:bookmarkEnd w:id="234"/>
    </w:p>
    <w:p>
      <w:pPr>
        <w:ind w:firstLine="640"/>
      </w:pPr>
      <w:bookmarkStart w:id="235" w:name="_Toc459664998"/>
      <w:bookmarkStart w:id="236" w:name="_Toc459664465"/>
      <w:r>
        <w:t>1.</w:t>
      </w:r>
      <w:r>
        <w:rPr>
          <w:rFonts w:hint="eastAsia"/>
        </w:rPr>
        <w:t>进一步推进社区服务发展</w:t>
      </w:r>
      <w:bookmarkEnd w:id="235"/>
      <w:bookmarkEnd w:id="236"/>
      <w:r>
        <w:rPr>
          <w:rFonts w:hint="eastAsia"/>
        </w:rPr>
        <w:t>。落实社区服务发展的指导意见和发展规划，明确社区服务的发展方向、重点领域。优化城乡社区服务设施布局，拓展社区服务功能，建立公共服务、便民利民服务、志愿服务有机衔接的城乡社区服务体系。健全社区服务扶持政策，发挥社区服务协会的行业龙头作用，推进社区公共服务体系“十大覆盖工程”，到</w:t>
      </w:r>
      <w:r>
        <w:t>2020</w:t>
      </w:r>
      <w:r>
        <w:rPr>
          <w:rFonts w:hint="eastAsia"/>
        </w:rPr>
        <w:t>年，基本实现城市社区“一刻钟服务圈”全覆盖。</w:t>
      </w:r>
    </w:p>
    <w:p>
      <w:pPr>
        <w:ind w:firstLine="640"/>
      </w:pPr>
      <w:bookmarkStart w:id="237" w:name="_Toc459664999"/>
      <w:bookmarkStart w:id="238" w:name="_Toc459664466"/>
      <w:r>
        <w:t>2.</w:t>
      </w:r>
      <w:r>
        <w:rPr>
          <w:rFonts w:hint="eastAsia"/>
        </w:rPr>
        <w:t>推进社区服务社会化改革</w:t>
      </w:r>
      <w:bookmarkEnd w:id="237"/>
      <w:bookmarkEnd w:id="238"/>
      <w:r>
        <w:rPr>
          <w:rFonts w:hint="eastAsia"/>
        </w:rPr>
        <w:t>。推进社区服务中心功能转型，实施社会化、项目化，普遍实行“政府出资购买、社会组织运营、全程跟踪评估”的社会化运营模式，将其打造成为统筹政府公共服务、整合社会服务资源、对接居民服务需求的中心枢纽。鼓励社区利用闲置资源兴办社区服务，发展养老、助残等群众急需的服务，提高社区便利化水平。</w:t>
      </w:r>
      <w:bookmarkStart w:id="239" w:name="_Toc459665000"/>
      <w:bookmarkStart w:id="240" w:name="_Toc459664467"/>
    </w:p>
    <w:p>
      <w:pPr>
        <w:ind w:firstLine="640"/>
      </w:pPr>
      <w:r>
        <w:t>3.</w:t>
      </w:r>
      <w:bookmarkEnd w:id="239"/>
      <w:bookmarkEnd w:id="240"/>
      <w:r>
        <w:rPr>
          <w:rFonts w:hint="eastAsia"/>
        </w:rPr>
        <w:t>加快推进智慧社区建设。加快社区信息化综合平台工程建设，建立社区内部信息交流共享机制，构建“</w:t>
      </w:r>
      <w:r>
        <w:t xml:space="preserve"> </w:t>
      </w:r>
      <w:r>
        <w:rPr>
          <w:rFonts w:hint="eastAsia"/>
        </w:rPr>
        <w:t>一站式</w:t>
      </w:r>
      <w:r>
        <w:rPr>
          <w:rFonts w:ascii="µÈÏß Western" w:hAnsi="µÈÏß Western"/>
        </w:rPr>
        <w:t xml:space="preserve">” </w:t>
      </w:r>
      <w:r>
        <w:rPr>
          <w:rFonts w:hint="eastAsia"/>
        </w:rPr>
        <w:t>网络服务平台，到</w:t>
      </w:r>
      <w:r>
        <w:t>2020</w:t>
      </w:r>
      <w:r>
        <w:rPr>
          <w:rFonts w:hint="eastAsia"/>
        </w:rPr>
        <w:t>年城乡社区公共服务综合信息平台覆盖率分别达到</w:t>
      </w:r>
      <w:r>
        <w:t>80%</w:t>
      </w:r>
      <w:r>
        <w:rPr>
          <w:rFonts w:hint="eastAsia"/>
        </w:rPr>
        <w:t>、</w:t>
      </w:r>
      <w:r>
        <w:t>40%</w:t>
      </w:r>
      <w:r>
        <w:rPr>
          <w:rFonts w:hint="eastAsia"/>
        </w:rPr>
        <w:t>。建设以全体社区居民为对象的信息数据库。建立社区网站、微博、微信等信息互动载体，满足老百姓多元化的新型服务需求。</w:t>
      </w:r>
      <w:r>
        <w:t xml:space="preserve"> </w:t>
      </w:r>
    </w:p>
    <w:p>
      <w:pPr>
        <w:pStyle w:val="39"/>
        <w:spacing w:before="156" w:after="156"/>
      </w:pPr>
      <w:bookmarkStart w:id="241" w:name="_Toc460247874"/>
      <w:bookmarkStart w:id="242" w:name="_Toc459665001"/>
      <w:bookmarkStart w:id="243" w:name="_Toc459664468"/>
      <w:r>
        <w:rPr>
          <w:rFonts w:hint="eastAsia"/>
        </w:rPr>
        <w:t>（四）深化婚姻和殡葬行业改革</w:t>
      </w:r>
      <w:bookmarkEnd w:id="241"/>
      <w:bookmarkEnd w:id="242"/>
      <w:bookmarkEnd w:id="243"/>
    </w:p>
    <w:p>
      <w:pPr>
        <w:ind w:firstLine="640"/>
      </w:pPr>
      <w:bookmarkStart w:id="244" w:name="_Toc459665002"/>
      <w:bookmarkStart w:id="245" w:name="_Toc459664469"/>
      <w:r>
        <w:t>1.</w:t>
      </w:r>
      <w:r>
        <w:rPr>
          <w:rFonts w:hint="eastAsia"/>
        </w:rPr>
        <w:t>创新婚姻家庭服务模式</w:t>
      </w:r>
      <w:bookmarkEnd w:id="244"/>
      <w:bookmarkEnd w:id="245"/>
      <w:r>
        <w:rPr>
          <w:rFonts w:hint="eastAsia"/>
        </w:rPr>
        <w:t>。发挥</w:t>
      </w:r>
      <w:r>
        <w:t>5A</w:t>
      </w:r>
      <w:r>
        <w:rPr>
          <w:rFonts w:hint="eastAsia"/>
        </w:rPr>
        <w:t>级婚姻登记机关优势，持续推进婚姻登记服务规范化、标准化，持续推动婚姻登记工作由单纯办证向综合服务转变，由单纯行政登记管理向和谐婚姻家庭建设推手转型。加强与相关部门合作，在登记处增设免费婚检、孕检服务，有效控制婴儿出生缺陷及传染病的发生。继续引入社会力量，发挥婚姻家庭建设协会作用，开展规范化婚姻家庭辅导服务，倡导树立正确的婚姻观、家庭观。不断推动京津冀三地婚姻登记信息互联互通。</w:t>
      </w:r>
    </w:p>
    <w:p>
      <w:pPr>
        <w:ind w:firstLine="640"/>
      </w:pPr>
      <w:bookmarkStart w:id="246" w:name="_Toc459664470"/>
      <w:bookmarkStart w:id="247" w:name="_Toc459665003"/>
      <w:r>
        <w:t>2.</w:t>
      </w:r>
      <w:r>
        <w:rPr>
          <w:rFonts w:hint="eastAsia"/>
        </w:rPr>
        <w:t>改革殡葬服务管理体制</w:t>
      </w:r>
      <w:bookmarkEnd w:id="246"/>
      <w:bookmarkEnd w:id="247"/>
      <w:r>
        <w:rPr>
          <w:rFonts w:hint="eastAsia"/>
        </w:rPr>
        <w:t>。实现殡葬行政管理公共服务职能与市场化经营服务职能分开，分类推进殡葬服务单位改革，强化基本殡葬服务的公益属性，实现选择性殡葬服务的市场化和社会化。建立基本殡葬服务制度，落实推进生态殡葬建设的意见，逐步实现骨灰生态安葬比例不低于年安葬量的</w:t>
      </w:r>
      <w:r>
        <w:t>50%</w:t>
      </w:r>
      <w:r>
        <w:rPr>
          <w:rFonts w:hint="eastAsia"/>
        </w:rPr>
        <w:t>。积极倡导骨灰撒海、撒散等，力争达到年火化量的</w:t>
      </w:r>
      <w:r>
        <w:t>6%</w:t>
      </w:r>
      <w:r>
        <w:rPr>
          <w:rFonts w:hint="eastAsia"/>
        </w:rPr>
        <w:t>以上。推进殡葬服务社会化进程，鼓励引导市场主体创新殡仪服务、有偿骨灰安葬服务等，推进“互联网</w:t>
      </w:r>
      <w:r>
        <w:t>+</w:t>
      </w:r>
      <w:r>
        <w:rPr>
          <w:rFonts w:hint="eastAsia"/>
        </w:rPr>
        <w:t>殡葬服务”，创新和优化殡葬服务供给，提供更多优质的殡葬公共服务产品。加大殡葬执法力度，规范全区殡仪服务市场秩序。</w:t>
      </w:r>
      <w:bookmarkEnd w:id="80"/>
      <w:bookmarkStart w:id="248" w:name="_Toc459665004"/>
      <w:bookmarkStart w:id="249" w:name="_Toc459664782"/>
      <w:bookmarkStart w:id="250" w:name="_Toc459664471"/>
      <w:bookmarkStart w:id="251" w:name="_Toc423942682"/>
      <w:r>
        <w:rPr>
          <w:rFonts w:hint="eastAsia"/>
        </w:rPr>
        <w:t>加强京津冀三地在骨灰海撒、陵园墓地建设等方面的协作。</w:t>
      </w:r>
    </w:p>
    <w:p>
      <w:pPr>
        <w:ind w:firstLine="640"/>
      </w:pPr>
    </w:p>
    <w:p>
      <w:pPr>
        <w:spacing w:line="240" w:lineRule="auto"/>
        <w:ind w:firstLine="640"/>
        <w:jc w:val="center"/>
      </w:pPr>
      <w:r>
        <w:pict>
          <v:shape id="_x0000_i1025" o:spt="75" type="#_x0000_t75" style="height:417.75pt;width:413.25pt;" filled="f" o:preferrelative="t" stroked="f" coordsize="21600,21600">
            <v:path/>
            <v:fill on="f" focussize="0,0"/>
            <v:stroke on="f" joinstyle="miter"/>
            <v:imagedata r:id="rId15" o:title=""/>
            <o:lock v:ext="edit" aspectratio="t"/>
            <w10:wrap type="none"/>
            <w10:anchorlock/>
          </v:shape>
        </w:pict>
      </w:r>
    </w:p>
    <w:p>
      <w:pPr>
        <w:spacing w:line="240" w:lineRule="auto"/>
        <w:ind w:firstLine="643"/>
        <w:jc w:val="center"/>
        <w:rPr>
          <w:rFonts w:ascii="楷体_GB2312" w:eastAsia="楷体_GB2312"/>
          <w:b/>
        </w:rPr>
      </w:pPr>
      <w:r>
        <w:rPr>
          <w:rFonts w:hint="eastAsia" w:ascii="楷体_GB2312" w:eastAsia="楷体_GB2312"/>
          <w:b/>
        </w:rPr>
        <w:t>图</w:t>
      </w:r>
      <w:r>
        <w:rPr>
          <w:rFonts w:ascii="楷体_GB2312" w:eastAsia="楷体_GB2312"/>
          <w:b/>
        </w:rPr>
        <w:t>1</w:t>
      </w:r>
      <w:r>
        <w:rPr>
          <w:rFonts w:hint="eastAsia" w:ascii="楷体_GB2312" w:eastAsia="楷体_GB2312"/>
          <w:b/>
        </w:rPr>
        <w:t>“十三五”时期新区民政事业任务结构图</w:t>
      </w:r>
    </w:p>
    <w:p>
      <w:pPr>
        <w:spacing w:line="240" w:lineRule="auto"/>
        <w:ind w:firstLine="0" w:firstLineChars="0"/>
      </w:pPr>
    </w:p>
    <w:p>
      <w:pPr>
        <w:pStyle w:val="43"/>
        <w:ind w:firstLine="0" w:firstLineChars="0"/>
        <w:jc w:val="both"/>
        <w:sectPr>
          <w:pgSz w:w="11906" w:h="16838"/>
          <w:pgMar w:top="1440" w:right="1800" w:bottom="1440" w:left="1800" w:header="851" w:footer="992" w:gutter="0"/>
          <w:cols w:space="720" w:num="1"/>
          <w:docGrid w:type="lines" w:linePitch="312" w:charSpace="0"/>
        </w:sectPr>
      </w:pPr>
    </w:p>
    <w:bookmarkEnd w:id="248"/>
    <w:bookmarkEnd w:id="249"/>
    <w:bookmarkEnd w:id="250"/>
    <w:p>
      <w:pPr>
        <w:pStyle w:val="43"/>
        <w:ind w:firstLine="717" w:firstLineChars="163"/>
        <w:jc w:val="both"/>
        <w:rPr>
          <w:rFonts w:ascii="仿宋" w:hAnsi="仿宋" w:eastAsia="仿宋"/>
          <w:kern w:val="0"/>
          <w:sz w:val="32"/>
          <w:szCs w:val="32"/>
          <w:u w:color="000000"/>
        </w:rPr>
      </w:pPr>
      <w:bookmarkStart w:id="252" w:name="_Toc459664487"/>
      <w:bookmarkStart w:id="253" w:name="_Toc460247875"/>
      <w:bookmarkStart w:id="254" w:name="_Toc459664784"/>
      <w:bookmarkStart w:id="255" w:name="_Toc459665020"/>
      <w:r>
        <w:rPr>
          <w:rFonts w:hint="eastAsia"/>
        </w:rPr>
        <w:t>第四部分</w:t>
      </w:r>
      <w:r>
        <w:t xml:space="preserve"> </w:t>
      </w:r>
      <w:r>
        <w:rPr>
          <w:rFonts w:hint="eastAsia"/>
        </w:rPr>
        <w:t>基础设施建设工程</w:t>
      </w:r>
      <w:bookmarkEnd w:id="252"/>
      <w:bookmarkEnd w:id="253"/>
      <w:bookmarkEnd w:id="254"/>
      <w:bookmarkEnd w:id="255"/>
    </w:p>
    <w:p>
      <w:pPr>
        <w:ind w:firstLine="640"/>
      </w:pPr>
      <w:r>
        <w:rPr>
          <w:rFonts w:hint="eastAsia"/>
        </w:rPr>
        <w:t>适应大兴新城、亦庄开发区、空港新区人口快速增长需求，按照《北京市</w:t>
      </w:r>
      <w:r>
        <w:t xml:space="preserve">2015-2020 </w:t>
      </w:r>
      <w:r>
        <w:rPr>
          <w:rFonts w:hint="eastAsia"/>
        </w:rPr>
        <w:t>年民政公共服务基础设施建设规划》，加快数量适当、分布合理、设施健全、功能完善、方便可及的民政公共服务设施建设，到</w:t>
      </w:r>
      <w:r>
        <w:t>2020</w:t>
      </w:r>
      <w:r>
        <w:rPr>
          <w:rFonts w:hint="eastAsia"/>
        </w:rPr>
        <w:t>年，达到必备“十个一”的民政公共服务基础设施建设标准，完成街道（镇）必备“三个一”的民政公共服务基础设施建设任务。目前，各街道（镇）与此任务有较大差距。</w:t>
      </w:r>
    </w:p>
    <w:p>
      <w:pPr>
        <w:spacing w:line="240" w:lineRule="auto"/>
        <w:ind w:firstLine="640"/>
      </w:pPr>
      <w:r>
        <w:pict>
          <v:shape id="_x0000_i1026" o:spt="75" type="#_x0000_t75" style="height:194.25pt;width:366.75pt;" filled="f" o:preferrelative="t" stroked="f" coordsize="21600,21600">
            <v:path/>
            <v:fill on="f" focussize="0,0"/>
            <v:stroke on="f" joinstyle="miter"/>
            <v:imagedata r:id="rId16" o:title=""/>
            <o:lock v:ext="edit" aspectratio="t"/>
            <w10:wrap type="none"/>
            <w10:anchorlock/>
          </v:shape>
        </w:pict>
      </w:r>
    </w:p>
    <w:p>
      <w:pPr>
        <w:spacing w:line="240" w:lineRule="auto"/>
        <w:ind w:firstLine="640"/>
        <w:jc w:val="center"/>
        <w:rPr>
          <w:rFonts w:ascii="楷体_GB2312" w:eastAsia="楷体_GB2312"/>
        </w:rPr>
      </w:pPr>
      <w:r>
        <w:rPr>
          <w:rFonts w:hint="eastAsia" w:ascii="楷体_GB2312" w:eastAsia="楷体_GB2312"/>
        </w:rPr>
        <w:t>图</w:t>
      </w:r>
      <w:r>
        <w:rPr>
          <w:rFonts w:ascii="楷体_GB2312" w:eastAsia="楷体_GB2312"/>
        </w:rPr>
        <w:t>2</w:t>
      </w:r>
      <w:r>
        <w:rPr>
          <w:rFonts w:hint="eastAsia" w:ascii="楷体_GB2312" w:eastAsia="楷体_GB2312"/>
        </w:rPr>
        <w:t>新区各街道（镇）基础设施拥有情况</w:t>
      </w:r>
    </w:p>
    <w:p>
      <w:pPr>
        <w:pStyle w:val="38"/>
      </w:pPr>
      <w:bookmarkStart w:id="256" w:name="_Toc459665021"/>
      <w:bookmarkStart w:id="257" w:name="_Toc460247876"/>
      <w:bookmarkStart w:id="258" w:name="_Toc459664488"/>
      <w:r>
        <w:rPr>
          <w:rFonts w:hint="eastAsia"/>
        </w:rPr>
        <w:t>一、养老服务设施</w:t>
      </w:r>
      <w:bookmarkEnd w:id="256"/>
      <w:bookmarkEnd w:id="257"/>
      <w:bookmarkEnd w:id="258"/>
    </w:p>
    <w:p>
      <w:pPr>
        <w:ind w:firstLine="640"/>
      </w:pPr>
      <w:r>
        <w:rPr>
          <w:rFonts w:hint="eastAsia"/>
        </w:rPr>
        <w:t>按照名称、色彩、标识三统一要求，建成</w:t>
      </w:r>
      <w:r>
        <w:t>11</w:t>
      </w:r>
      <w:r>
        <w:rPr>
          <w:rFonts w:hint="eastAsia"/>
        </w:rPr>
        <w:t>个街道（镇）养老照料中心，实现照料中心在城区和重点城镇全覆盖。按照《北京市养老服务设施专项规划》关于“分区分级规划设置各类养老服务设施，到</w:t>
      </w:r>
      <w:r>
        <w:t>2020</w:t>
      </w:r>
      <w:r>
        <w:rPr>
          <w:rFonts w:hint="eastAsia"/>
        </w:rPr>
        <w:t>年，全市人均养老设施用地约</w:t>
      </w:r>
      <w:r>
        <w:t>0.25</w:t>
      </w:r>
      <w:r>
        <w:rPr>
          <w:rFonts w:hint="eastAsia"/>
        </w:rPr>
        <w:t>平方米”要求，标准化配建社区养老设施，</w:t>
      </w:r>
      <w:r>
        <w:rPr>
          <w:rFonts w:hint="eastAsia" w:ascii="仿宋_GB2312"/>
          <w:szCs w:val="32"/>
        </w:rPr>
        <w:t>全区建成不少于</w:t>
      </w:r>
      <w:r>
        <w:rPr>
          <w:rFonts w:ascii="仿宋_GB2312"/>
          <w:szCs w:val="32"/>
        </w:rPr>
        <w:t>60</w:t>
      </w:r>
      <w:r>
        <w:rPr>
          <w:rFonts w:hint="eastAsia" w:ascii="仿宋_GB2312"/>
          <w:szCs w:val="32"/>
        </w:rPr>
        <w:t>个养老服务驿站和老年活动场站</w:t>
      </w:r>
      <w:r>
        <w:rPr>
          <w:rFonts w:hint="eastAsia"/>
        </w:rPr>
        <w:t>，机构养老以社会投资为主，实现自然增长，</w:t>
      </w:r>
      <w:r>
        <w:rPr>
          <w:rFonts w:hint="eastAsia" w:ascii="仿宋_GB2312" w:hAnsi="仿宋"/>
          <w:szCs w:val="32"/>
        </w:rPr>
        <w:t>到</w:t>
      </w:r>
      <w:r>
        <w:rPr>
          <w:rFonts w:ascii="仿宋_GB2312" w:hAnsi="仿宋"/>
          <w:szCs w:val="32"/>
        </w:rPr>
        <w:t>2020</w:t>
      </w:r>
      <w:r>
        <w:rPr>
          <w:rFonts w:hint="eastAsia" w:ascii="仿宋_GB2312" w:hAnsi="仿宋"/>
          <w:szCs w:val="32"/>
        </w:rPr>
        <w:t>年，新增床位</w:t>
      </w:r>
      <w:r>
        <w:rPr>
          <w:rFonts w:ascii="仿宋_GB2312" w:hAnsi="仿宋"/>
          <w:szCs w:val="32"/>
        </w:rPr>
        <w:t>3500-5000</w:t>
      </w:r>
      <w:r>
        <w:rPr>
          <w:rFonts w:hint="eastAsia" w:ascii="仿宋_GB2312" w:hAnsi="仿宋"/>
          <w:szCs w:val="32"/>
        </w:rPr>
        <w:t>张，实现床位总量达到</w:t>
      </w:r>
      <w:r>
        <w:rPr>
          <w:rFonts w:ascii="仿宋_GB2312" w:hAnsi="仿宋"/>
          <w:szCs w:val="32"/>
        </w:rPr>
        <w:t>1.5-1.7</w:t>
      </w:r>
      <w:r>
        <w:rPr>
          <w:rFonts w:hint="eastAsia" w:ascii="仿宋_GB2312" w:hAnsi="仿宋"/>
          <w:szCs w:val="32"/>
        </w:rPr>
        <w:t>万张，护养型床位占比达到</w:t>
      </w:r>
      <w:r>
        <w:rPr>
          <w:rFonts w:ascii="仿宋_GB2312" w:hAnsi="仿宋"/>
          <w:szCs w:val="32"/>
        </w:rPr>
        <w:t>70%</w:t>
      </w:r>
      <w:r>
        <w:rPr>
          <w:rFonts w:hint="eastAsia" w:ascii="仿宋_GB2312" w:hAnsi="仿宋"/>
          <w:szCs w:val="32"/>
        </w:rPr>
        <w:t>。</w:t>
      </w:r>
    </w:p>
    <w:p>
      <w:pPr>
        <w:pStyle w:val="38"/>
      </w:pPr>
      <w:bookmarkStart w:id="259" w:name="_Toc459665022"/>
      <w:bookmarkStart w:id="260" w:name="_Toc459664489"/>
      <w:bookmarkStart w:id="261" w:name="_Toc460247877"/>
      <w:r>
        <w:rPr>
          <w:rFonts w:hint="eastAsia"/>
        </w:rPr>
        <w:t>二、儿童福利设施</w:t>
      </w:r>
      <w:bookmarkEnd w:id="259"/>
      <w:bookmarkEnd w:id="260"/>
      <w:bookmarkEnd w:id="261"/>
    </w:p>
    <w:p>
      <w:pPr>
        <w:ind w:firstLine="640"/>
      </w:pPr>
      <w:r>
        <w:rPr>
          <w:rFonts w:hint="eastAsia"/>
        </w:rPr>
        <w:t>加快大兴区社会福利院儿童福利设施建设。设置床位</w:t>
      </w:r>
      <w:r>
        <w:t>125</w:t>
      </w:r>
      <w:r>
        <w:rPr>
          <w:rFonts w:hint="eastAsia"/>
        </w:rPr>
        <w:t>张，到</w:t>
      </w:r>
      <w:r>
        <w:t>2020</w:t>
      </w:r>
      <w:r>
        <w:rPr>
          <w:rFonts w:hint="eastAsia"/>
        </w:rPr>
        <w:t>年，全区儿童养育床位总数达到</w:t>
      </w:r>
      <w:r>
        <w:t>300</w:t>
      </w:r>
      <w:r>
        <w:rPr>
          <w:rFonts w:hint="eastAsia"/>
        </w:rPr>
        <w:t>张，将满足全区孤残儿童养育、教育、医疗、康复等等方面的需求。</w:t>
      </w:r>
    </w:p>
    <w:p>
      <w:pPr>
        <w:pStyle w:val="38"/>
      </w:pPr>
      <w:bookmarkStart w:id="262" w:name="_Toc459665023"/>
      <w:bookmarkStart w:id="263" w:name="_Toc459664490"/>
      <w:bookmarkStart w:id="264" w:name="_Toc460247878"/>
      <w:r>
        <w:rPr>
          <w:rFonts w:hint="eastAsia"/>
        </w:rPr>
        <w:t>三、残疾人服务设施</w:t>
      </w:r>
      <w:bookmarkEnd w:id="262"/>
      <w:bookmarkEnd w:id="263"/>
      <w:bookmarkEnd w:id="264"/>
    </w:p>
    <w:p>
      <w:pPr>
        <w:ind w:firstLine="640"/>
      </w:pPr>
      <w:r>
        <w:rPr>
          <w:rFonts w:hint="eastAsia"/>
        </w:rPr>
        <w:t>力争“十三五”期间建成</w:t>
      </w:r>
      <w:r>
        <w:t>1</w:t>
      </w:r>
      <w:r>
        <w:rPr>
          <w:rFonts w:hint="eastAsia"/>
        </w:rPr>
        <w:t>所不少于</w:t>
      </w:r>
      <w:r>
        <w:t>100</w:t>
      </w:r>
      <w:r>
        <w:rPr>
          <w:rFonts w:hint="eastAsia"/>
        </w:rPr>
        <w:t>张床位的民政直属精神卫生社会福利机构。通过单独建设或与现有养老机构分区管理等形式，建成</w:t>
      </w:r>
      <w:r>
        <w:t>2</w:t>
      </w:r>
      <w:r>
        <w:rPr>
          <w:rFonts w:hint="eastAsia"/>
        </w:rPr>
        <w:t>处各不少于</w:t>
      </w:r>
      <w:r>
        <w:t>50</w:t>
      </w:r>
      <w:r>
        <w:rPr>
          <w:rFonts w:hint="eastAsia"/>
        </w:rPr>
        <w:t>张床位的智障人员社会福利机构，初步满足需要照料的精神病患者入住需求。以街道（镇）卫生服务机构为依托，加强社区精神康复机构建设。</w:t>
      </w:r>
    </w:p>
    <w:p>
      <w:pPr>
        <w:pStyle w:val="38"/>
      </w:pPr>
      <w:bookmarkStart w:id="265" w:name="_Toc459665024"/>
      <w:bookmarkStart w:id="266" w:name="_Toc460247879"/>
      <w:bookmarkStart w:id="267" w:name="_Toc459664491"/>
      <w:r>
        <w:rPr>
          <w:rFonts w:hint="eastAsia"/>
        </w:rPr>
        <w:t>四、社会组织培育孵化设施</w:t>
      </w:r>
      <w:bookmarkEnd w:id="265"/>
      <w:bookmarkEnd w:id="266"/>
      <w:bookmarkEnd w:id="267"/>
    </w:p>
    <w:p>
      <w:pPr>
        <w:ind w:firstLine="640"/>
      </w:pPr>
      <w:r>
        <w:rPr>
          <w:rFonts w:hint="eastAsia"/>
        </w:rPr>
        <w:t>区级层面的北京市大兴区社会组织发展服务中心建设完成，已开始运营。到</w:t>
      </w:r>
      <w:r>
        <w:t>2020</w:t>
      </w:r>
      <w:r>
        <w:rPr>
          <w:rFonts w:hint="eastAsia"/>
        </w:rPr>
        <w:t>年，推动每个街道（镇）建设</w:t>
      </w:r>
      <w:r>
        <w:t>1</w:t>
      </w:r>
      <w:r>
        <w:rPr>
          <w:rFonts w:hint="eastAsia"/>
        </w:rPr>
        <w:t>个社会组织孵化中心。</w:t>
      </w:r>
    </w:p>
    <w:p>
      <w:pPr>
        <w:pStyle w:val="38"/>
      </w:pPr>
      <w:bookmarkStart w:id="268" w:name="_Toc460247880"/>
      <w:bookmarkStart w:id="269" w:name="_Toc459665025"/>
      <w:bookmarkStart w:id="270" w:name="_Toc459664492"/>
      <w:r>
        <w:rPr>
          <w:rFonts w:hint="eastAsia"/>
        </w:rPr>
        <w:t>五、社区服务设施</w:t>
      </w:r>
      <w:bookmarkEnd w:id="268"/>
      <w:bookmarkEnd w:id="269"/>
      <w:bookmarkEnd w:id="270"/>
    </w:p>
    <w:p>
      <w:pPr>
        <w:ind w:firstLine="640"/>
      </w:pPr>
      <w:r>
        <w:rPr>
          <w:rFonts w:hint="eastAsia"/>
        </w:rPr>
        <w:t>旧宫、亦庄等</w:t>
      </w:r>
      <w:r>
        <w:t>9</w:t>
      </w:r>
      <w:r>
        <w:rPr>
          <w:rFonts w:hint="eastAsia"/>
        </w:rPr>
        <w:t>个镇街已完成社区服务中心用房建设。进一步加强市、区级相关部门的沟通联系，到</w:t>
      </w:r>
      <w:r>
        <w:t>2020</w:t>
      </w:r>
      <w:r>
        <w:rPr>
          <w:rFonts w:hint="eastAsia"/>
        </w:rPr>
        <w:t>年，完成剩余</w:t>
      </w:r>
      <w:r>
        <w:t>13</w:t>
      </w:r>
      <w:r>
        <w:rPr>
          <w:rFonts w:hint="eastAsia"/>
        </w:rPr>
        <w:t>个街镇综合性社区服务中心建设。</w:t>
      </w:r>
    </w:p>
    <w:p>
      <w:pPr>
        <w:pStyle w:val="38"/>
      </w:pPr>
      <w:bookmarkStart w:id="271" w:name="_Toc460247881"/>
      <w:bookmarkStart w:id="272" w:name="_Toc459664493"/>
      <w:bookmarkStart w:id="273" w:name="_Toc459665026"/>
      <w:r>
        <w:rPr>
          <w:rFonts w:hint="eastAsia"/>
        </w:rPr>
        <w:t>六、救助服务设施</w:t>
      </w:r>
      <w:bookmarkEnd w:id="271"/>
      <w:bookmarkEnd w:id="272"/>
      <w:bookmarkEnd w:id="273"/>
    </w:p>
    <w:p>
      <w:pPr>
        <w:ind w:firstLine="640"/>
      </w:pPr>
      <w:r>
        <w:rPr>
          <w:rFonts w:hint="eastAsia"/>
        </w:rPr>
        <w:t>加强与相关部门协调，力争按照《救助管理机构基本规范》要求，征地</w:t>
      </w:r>
      <w:r>
        <w:t>15-20</w:t>
      </w:r>
      <w:r>
        <w:rPr>
          <w:rFonts w:hint="eastAsia"/>
        </w:rPr>
        <w:t>亩建设</w:t>
      </w:r>
      <w:r>
        <w:t>1</w:t>
      </w:r>
      <w:r>
        <w:rPr>
          <w:rFonts w:hint="eastAsia"/>
        </w:rPr>
        <w:t>个设施完备、功能齐全、三位一体的永久性救助管理站，救助床位</w:t>
      </w:r>
      <w:r>
        <w:t>50</w:t>
      </w:r>
      <w:r>
        <w:rPr>
          <w:rFonts w:hint="eastAsia"/>
        </w:rPr>
        <w:t>张，达到国家三级救助管理机构评定标准。</w:t>
      </w:r>
    </w:p>
    <w:p>
      <w:pPr>
        <w:pStyle w:val="38"/>
      </w:pPr>
      <w:bookmarkStart w:id="274" w:name="_Toc459664494"/>
      <w:bookmarkStart w:id="275" w:name="_Toc459665027"/>
      <w:bookmarkStart w:id="276" w:name="_Toc460247882"/>
      <w:r>
        <w:rPr>
          <w:rFonts w:hint="eastAsia"/>
        </w:rPr>
        <w:t>七、救灾服务设施</w:t>
      </w:r>
      <w:bookmarkEnd w:id="274"/>
      <w:bookmarkEnd w:id="275"/>
      <w:bookmarkEnd w:id="276"/>
    </w:p>
    <w:p>
      <w:pPr>
        <w:ind w:firstLine="640"/>
      </w:pPr>
      <w:r>
        <w:rPr>
          <w:rFonts w:hint="eastAsia"/>
        </w:rPr>
        <w:t>建成市级救灾物资储备库大兴分库。达到可应急保障</w:t>
      </w:r>
      <w:r>
        <w:t>1</w:t>
      </w:r>
      <w:r>
        <w:rPr>
          <w:rFonts w:hint="eastAsia"/>
        </w:rPr>
        <w:t>万人标准；增强基层减灾救灾自救互救能力，力争达到每个街道、镇储备</w:t>
      </w:r>
      <w:r>
        <w:t>100</w:t>
      </w:r>
      <w:r>
        <w:rPr>
          <w:rFonts w:hint="eastAsia"/>
        </w:rPr>
        <w:t>人左右救灾物资的标准。</w:t>
      </w:r>
    </w:p>
    <w:p>
      <w:pPr>
        <w:pStyle w:val="38"/>
      </w:pPr>
      <w:bookmarkStart w:id="277" w:name="_Toc459664495"/>
      <w:bookmarkStart w:id="278" w:name="_Toc459665028"/>
      <w:bookmarkStart w:id="279" w:name="_Toc460247883"/>
      <w:r>
        <w:rPr>
          <w:rFonts w:hint="eastAsia"/>
        </w:rPr>
        <w:t>八、慈善捐赠设施</w:t>
      </w:r>
      <w:bookmarkEnd w:id="277"/>
      <w:bookmarkEnd w:id="278"/>
      <w:bookmarkEnd w:id="279"/>
    </w:p>
    <w:p>
      <w:pPr>
        <w:ind w:firstLine="640"/>
      </w:pPr>
      <w:r>
        <w:rPr>
          <w:rFonts w:hint="eastAsia"/>
        </w:rPr>
        <w:t>力争全区各街道、镇建立</w:t>
      </w:r>
      <w:r>
        <w:t>1</w:t>
      </w:r>
      <w:r>
        <w:rPr>
          <w:rFonts w:hint="eastAsia"/>
        </w:rPr>
        <w:t>家捐赠站点，各街道、镇至少建成</w:t>
      </w:r>
      <w:r>
        <w:t>1</w:t>
      </w:r>
      <w:r>
        <w:rPr>
          <w:rFonts w:hint="eastAsia"/>
        </w:rPr>
        <w:t>家慈善超市门店。</w:t>
      </w:r>
    </w:p>
    <w:p>
      <w:pPr>
        <w:pStyle w:val="38"/>
      </w:pPr>
      <w:bookmarkStart w:id="280" w:name="_Toc460247884"/>
      <w:bookmarkStart w:id="281" w:name="_Toc459664496"/>
      <w:bookmarkStart w:id="282" w:name="_Toc459665029"/>
      <w:r>
        <w:rPr>
          <w:rFonts w:hint="eastAsia"/>
        </w:rPr>
        <w:t>九、军休优抚服务设施</w:t>
      </w:r>
      <w:bookmarkEnd w:id="280"/>
      <w:bookmarkEnd w:id="281"/>
      <w:bookmarkEnd w:id="282"/>
    </w:p>
    <w:p>
      <w:pPr>
        <w:ind w:firstLine="640"/>
      </w:pPr>
      <w:r>
        <w:rPr>
          <w:rFonts w:hint="eastAsia"/>
        </w:rPr>
        <w:t>对大兴区光荣院的设施进行建设和改造。力争完成</w:t>
      </w:r>
      <w:r>
        <w:t>1</w:t>
      </w:r>
      <w:r>
        <w:rPr>
          <w:rFonts w:hint="eastAsia"/>
        </w:rPr>
        <w:t>座烈士陵园建设。筹备成立区烈士陵园管理处，将全区零散烈士墓进行统一迁至烈士陵园集中维护、管理。</w:t>
      </w:r>
    </w:p>
    <w:p>
      <w:pPr>
        <w:pStyle w:val="38"/>
      </w:pPr>
      <w:bookmarkStart w:id="283" w:name="_Toc460247885"/>
      <w:bookmarkStart w:id="284" w:name="_Toc459665030"/>
      <w:bookmarkStart w:id="285" w:name="_Toc459664497"/>
      <w:r>
        <w:rPr>
          <w:rFonts w:hint="eastAsia"/>
        </w:rPr>
        <w:t>十、殡葬服务设施</w:t>
      </w:r>
      <w:bookmarkEnd w:id="283"/>
      <w:bookmarkEnd w:id="284"/>
      <w:bookmarkEnd w:id="285"/>
    </w:p>
    <w:p>
      <w:pPr>
        <w:ind w:firstLine="640"/>
      </w:pPr>
      <w:r>
        <w:rPr>
          <w:rFonts w:hint="eastAsia"/>
        </w:rPr>
        <w:t>继续采取与各镇联营方式，建设生态公益性林地公墓。争取</w:t>
      </w:r>
      <w:r>
        <w:t>2020</w:t>
      </w:r>
      <w:r>
        <w:rPr>
          <w:rFonts w:hint="eastAsia"/>
        </w:rPr>
        <w:t>年前完成</w:t>
      </w:r>
      <w:r>
        <w:t>1</w:t>
      </w:r>
      <w:r>
        <w:rPr>
          <w:rFonts w:hint="eastAsia"/>
        </w:rPr>
        <w:t>至</w:t>
      </w:r>
      <w:r>
        <w:t>2</w:t>
      </w:r>
      <w:r>
        <w:rPr>
          <w:rFonts w:hint="eastAsia"/>
        </w:rPr>
        <w:t>个绿色生态基地示范园建设，骨灰生态安葬比例达到年安葬量的</w:t>
      </w:r>
      <w:r>
        <w:rPr>
          <w:rFonts w:ascii="仿宋_GB2312"/>
        </w:rPr>
        <w:t>50%</w:t>
      </w:r>
      <w:r>
        <w:rPr>
          <w:rFonts w:hint="eastAsia"/>
        </w:rPr>
        <w:t>，骨灰撒海、景观撒散数量达到年火化量的</w:t>
      </w:r>
      <w:r>
        <w:rPr>
          <w:rFonts w:ascii="仿宋_GB2312"/>
        </w:rPr>
        <w:t>6%</w:t>
      </w:r>
      <w:r>
        <w:rPr>
          <w:rFonts w:hint="eastAsia"/>
        </w:rPr>
        <w:t>以上。升级改造大兴殡仪馆设施，满足群众治丧多元化服务。按照北京市环保标准推进火化机改造。</w:t>
      </w:r>
      <w:bookmarkStart w:id="286" w:name="_Toc459665031"/>
      <w:bookmarkStart w:id="287" w:name="_Toc459664498"/>
      <w:bookmarkStart w:id="288" w:name="_Toc459664785"/>
    </w:p>
    <w:p>
      <w:pPr>
        <w:pStyle w:val="43"/>
        <w:ind w:firstLine="880"/>
        <w:sectPr>
          <w:pgSz w:w="11906" w:h="16838"/>
          <w:pgMar w:top="1440" w:right="1800" w:bottom="1440" w:left="1800" w:header="851" w:footer="992" w:gutter="0"/>
          <w:cols w:space="720" w:num="1"/>
          <w:docGrid w:type="lines" w:linePitch="312" w:charSpace="0"/>
        </w:sectPr>
      </w:pPr>
    </w:p>
    <w:p>
      <w:pPr>
        <w:pStyle w:val="43"/>
        <w:ind w:firstLine="880"/>
        <w:rPr>
          <w:rFonts w:ascii="仿宋" w:hAnsi="仿宋" w:eastAsia="仿宋"/>
          <w:kern w:val="0"/>
          <w:sz w:val="32"/>
          <w:szCs w:val="32"/>
          <w:u w:color="000000"/>
        </w:rPr>
      </w:pPr>
      <w:bookmarkStart w:id="289" w:name="_Toc460247886"/>
      <w:r>
        <w:rPr>
          <w:rFonts w:hint="eastAsia"/>
        </w:rPr>
        <w:t>第五部分</w:t>
      </w:r>
      <w:r>
        <w:t xml:space="preserve"> </w:t>
      </w:r>
      <w:r>
        <w:rPr>
          <w:rFonts w:hint="eastAsia"/>
        </w:rPr>
        <w:t>保障措施</w:t>
      </w:r>
      <w:bookmarkEnd w:id="286"/>
      <w:bookmarkEnd w:id="287"/>
      <w:bookmarkEnd w:id="288"/>
      <w:bookmarkEnd w:id="289"/>
    </w:p>
    <w:p>
      <w:pPr>
        <w:ind w:firstLine="640"/>
      </w:pPr>
      <w:r>
        <w:rPr>
          <w:rFonts w:hint="eastAsia"/>
        </w:rPr>
        <w:t>充分发挥规划在未来五年民政工作中的纲领性和指导性作用，创造规划实施的必要条件和环境，努力完成规划确定的目标任务。</w:t>
      </w:r>
    </w:p>
    <w:p>
      <w:pPr>
        <w:pStyle w:val="38"/>
      </w:pPr>
      <w:bookmarkStart w:id="290" w:name="_Toc460247887"/>
      <w:bookmarkStart w:id="291" w:name="_Toc459664499"/>
      <w:bookmarkStart w:id="292" w:name="_Toc459665032"/>
      <w:r>
        <w:rPr>
          <w:rFonts w:hint="eastAsia"/>
        </w:rPr>
        <w:t>一、加强组织领导</w:t>
      </w:r>
      <w:bookmarkEnd w:id="290"/>
      <w:bookmarkEnd w:id="291"/>
      <w:bookmarkEnd w:id="292"/>
    </w:p>
    <w:p>
      <w:pPr>
        <w:ind w:firstLine="640"/>
      </w:pPr>
      <w:bookmarkStart w:id="293" w:name="_Toc459664500"/>
      <w:bookmarkStart w:id="294" w:name="_Toc460247888"/>
      <w:bookmarkStart w:id="295" w:name="_Toc459665033"/>
      <w:r>
        <w:rPr>
          <w:rFonts w:hint="eastAsia"/>
        </w:rPr>
        <w:t>成立由区民政局主要领导牵头的“十三五”规划统筹推进领导小组，总体协调本规划的实施，定期检查规划进展情况，形成有领导、有落实、有监督、有评价考核的规划实施机制。基层各单位要依据本规划，结合实际，制定年度工作计划，形成任务清单，明确工作责任，不断提高干事创业积极性、主动性、创造性。</w:t>
      </w:r>
    </w:p>
    <w:p>
      <w:pPr>
        <w:pStyle w:val="38"/>
      </w:pPr>
      <w:r>
        <w:rPr>
          <w:rFonts w:hint="eastAsia"/>
        </w:rPr>
        <w:t>二、加大资金投入</w:t>
      </w:r>
      <w:bookmarkEnd w:id="293"/>
      <w:bookmarkEnd w:id="294"/>
      <w:bookmarkEnd w:id="295"/>
    </w:p>
    <w:p>
      <w:pPr>
        <w:pStyle w:val="38"/>
        <w:rPr>
          <w:rFonts w:ascii="等线" w:hAnsi="等线" w:eastAsia="仿宋_GB2312"/>
          <w:szCs w:val="22"/>
        </w:rPr>
      </w:pPr>
      <w:bookmarkStart w:id="296" w:name="_Toc459665034"/>
      <w:bookmarkStart w:id="297" w:name="_Toc460247889"/>
      <w:bookmarkStart w:id="298" w:name="_Toc459664501"/>
      <w:r>
        <w:rPr>
          <w:rFonts w:hint="eastAsia" w:ascii="等线" w:hAnsi="等线" w:eastAsia="仿宋_GB2312"/>
          <w:szCs w:val="22"/>
        </w:rPr>
        <w:t>积极争取加大民政事业发展各级财政投入，为民政事业发展提供资金保障。创新多渠道、多形式的民政工作经费投入和使用机制，拓展资金来源，提高资金使用效益。推进福彩管理体制改革，提升福利彩票公益金使用效率。发挥财政资金的引导作用，协调实施财政补助、税费减免及用水、用电、用气等优惠政策，支持社会力量参与社会服务，形成以政府投入为主的多渠道、多形式、多层次的民政事业发展筹资机制。加大政府购买服务力度，采用专业化项目运作模式，对资金使用情况全程评估、监督和管理，提高民政资金使用效能。</w:t>
      </w:r>
    </w:p>
    <w:p>
      <w:pPr>
        <w:pStyle w:val="38"/>
      </w:pPr>
      <w:r>
        <w:rPr>
          <w:rFonts w:hint="eastAsia"/>
        </w:rPr>
        <w:t>三、加强人才队伍建设</w:t>
      </w:r>
      <w:bookmarkEnd w:id="296"/>
      <w:bookmarkEnd w:id="297"/>
      <w:bookmarkEnd w:id="298"/>
    </w:p>
    <w:bookmarkEnd w:id="251"/>
    <w:p>
      <w:pPr>
        <w:spacing w:line="600" w:lineRule="exact"/>
        <w:ind w:firstLine="640"/>
      </w:pPr>
      <w:bookmarkStart w:id="299" w:name="_Toc459665035"/>
      <w:bookmarkStart w:id="300" w:name="_Toc459664502"/>
      <w:bookmarkStart w:id="301" w:name="_Toc460247890"/>
      <w:bookmarkStart w:id="302" w:name="_Toc423942684"/>
      <w:r>
        <w:rPr>
          <w:rFonts w:hint="eastAsia" w:ascii="仿宋_GB2312"/>
        </w:rPr>
        <w:t>适应社会发展趋势和工作需要，对内设机构及所属事业单位进行调整归并和重组优化。通过增设机构、政府购买服务、设置社工岗位等，充实基层民政工作力量。加大对各类人才队伍的培训、选拔和使用。严格落实党风廉政建设责任制，加强队伍政治、思想、组织、纪律、作风建设，完善绩效考核办法，营造民政系统风清气正良好氛围。不断加强民政文化建设，弘扬爱国忧民、孝亲敬老、扶危济困、见义勇为、甘于奉献的民政传统文化，倡导</w:t>
      </w:r>
      <w:r>
        <w:rPr>
          <w:rFonts w:hint="eastAsia"/>
        </w:rPr>
        <w:t>“民本、务实、平等、奉献”民政工作核心价值观，为“十三五”期间各项目标任务的全面完成提供强大的精神动力。</w:t>
      </w:r>
    </w:p>
    <w:p>
      <w:pPr>
        <w:pStyle w:val="38"/>
      </w:pPr>
      <w:r>
        <w:rPr>
          <w:rFonts w:hint="eastAsia"/>
        </w:rPr>
        <w:t>四、加强民政法制建设</w:t>
      </w:r>
      <w:bookmarkEnd w:id="299"/>
      <w:bookmarkEnd w:id="300"/>
      <w:bookmarkEnd w:id="301"/>
    </w:p>
    <w:p>
      <w:pPr>
        <w:spacing w:line="600" w:lineRule="exact"/>
        <w:ind w:firstLine="640"/>
      </w:pPr>
      <w:r>
        <w:rPr>
          <w:rFonts w:hint="eastAsia"/>
        </w:rPr>
        <w:t>深入贯彻依法治国基本方略，全面贯彻落实《法治政府建设实施纲要（</w:t>
      </w:r>
      <w:r>
        <w:t xml:space="preserve">2015-2020 </w:t>
      </w:r>
      <w:r>
        <w:rPr>
          <w:rFonts w:hint="eastAsia"/>
        </w:rPr>
        <w:t>年）》，完善民政法规制度体系，加快建设法治民政，运用法治思维和法治方式推动发展。推进政府事权规范化和行政权力运行法治化，促进严格规范公正文明执法。建立职权法定工作机制，全面推进民政权力依法设置和公开透明运行机制建设，严守权力边界，按照法定权限行使权力。建立健全权力清单、责任清单制度。完善重大行政决策程序制度。坚持严格规范公正文明执法，完善行政执法程序，全面落实行政执法责任制，健全行政执法人员管理制度。加强行政复议工作。</w:t>
      </w:r>
      <w:bookmarkEnd w:id="302"/>
      <w:bookmarkStart w:id="303" w:name="_Toc423942683"/>
      <w:r>
        <w:rPr>
          <w:rFonts w:hint="eastAsia"/>
        </w:rPr>
        <w:t>全面实施民政“六五”普法规划，编制并实施“七五”普法规划，推进法治社会建设。</w:t>
      </w:r>
    </w:p>
    <w:p>
      <w:pPr>
        <w:pStyle w:val="38"/>
      </w:pPr>
      <w:bookmarkStart w:id="304" w:name="_Toc460247891"/>
      <w:r>
        <w:rPr>
          <w:rFonts w:hint="eastAsia"/>
        </w:rPr>
        <w:t>五、推进民政信息化建设</w:t>
      </w:r>
      <w:bookmarkEnd w:id="304"/>
    </w:p>
    <w:p>
      <w:pPr>
        <w:ind w:firstLine="640"/>
      </w:pPr>
      <w:r>
        <w:rPr>
          <w:rFonts w:hint="eastAsia"/>
        </w:rPr>
        <w:t>全面启动“智慧民政”工程，推进民政工作信息化改革，推行“互联网</w:t>
      </w:r>
      <w:r>
        <w:t>+</w:t>
      </w:r>
      <w:r>
        <w:rPr>
          <w:rFonts w:hint="eastAsia"/>
        </w:rPr>
        <w:t>民政”，升级服务方式，提升管理水平，增强民政工作运行效应。进一步推进数字民政工程，建设民政对象、单位法人、空间信息等基础数据库，应用新型电子档案技术，归集整合民政数据资源，实现档案化、可视化管理，夯实民政信息服务和管理平台。贯彻落实京津冀民政事业协同发展战略，优化配置三地民政资源和服务布局，实现信息共建共享。进一步依托市区媒体，民政信息网站，民政微信微博等平台，提高政府信息公开透明度和信息量工作，提高民政文化道德的感染力。以民政文化的引领教化，在全社会形成崇德重礼，弘扬公序良俗的浓郁氛围。</w:t>
      </w:r>
    </w:p>
    <w:p>
      <w:pPr>
        <w:pStyle w:val="38"/>
      </w:pPr>
      <w:bookmarkStart w:id="305" w:name="_Toc459665036"/>
      <w:bookmarkStart w:id="306" w:name="_Toc459664503"/>
      <w:bookmarkStart w:id="307" w:name="_Toc460247892"/>
      <w:r>
        <w:rPr>
          <w:rFonts w:hint="eastAsia"/>
        </w:rPr>
        <w:t>六、完善规划实施机制</w:t>
      </w:r>
      <w:bookmarkEnd w:id="305"/>
      <w:bookmarkEnd w:id="306"/>
      <w:bookmarkEnd w:id="307"/>
    </w:p>
    <w:bookmarkEnd w:id="303"/>
    <w:p>
      <w:pPr>
        <w:spacing w:line="600" w:lineRule="exact"/>
        <w:ind w:firstLine="640"/>
      </w:pPr>
      <w:r>
        <w:rPr>
          <w:rFonts w:hint="eastAsia"/>
        </w:rPr>
        <w:t>开展规划实施情况年度监测和中期评估，把监测评估结果作为改进民政工作和绩效考核的重要依据。本规划确定的发展指标以及重要任务，要逐级明确责任主体、实施进度要求，对责任落实不到位、工作推进不力的单位和个人，按照相关规定给予一票否决或追究责任。建立健全规划纲要动态调整机制。规划实施过程中，遇到国内外环境发生重大形势变化或其他重要原因，可结合市委市政府、区委区政府最新决策精神，研究规划调整方案并按规定程序报批。</w:t>
      </w: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67283BA-B7BC-48EF-8541-CC797FC850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0BE5228-1EEC-41BE-AFB7-72A0520E9E2B}"/>
  </w:font>
  <w:font w:name="等线">
    <w:panose1 w:val="02010600030101010101"/>
    <w:charset w:val="86"/>
    <w:family w:val="auto"/>
    <w:pitch w:val="default"/>
    <w:sig w:usb0="A00002BF" w:usb1="38CF7CFA" w:usb2="00000016" w:usb3="00000000" w:csb0="0004000F" w:csb1="00000000"/>
    <w:embedRegular r:id="rId3" w:fontKey="{3AAA427A-6C6F-453D-A071-1E52ED5FC05B}"/>
  </w:font>
  <w:font w:name="仿宋_GB2312">
    <w:altName w:val="仿宋"/>
    <w:panose1 w:val="02010609030101010101"/>
    <w:charset w:val="86"/>
    <w:family w:val="modern"/>
    <w:pitch w:val="default"/>
    <w:sig w:usb0="00000000" w:usb1="00000000" w:usb2="00000010" w:usb3="00000000" w:csb0="00040000" w:csb1="00000000"/>
    <w:embedRegular r:id="rId4" w:fontKey="{4F9636DE-2476-43D9-B9D6-7CC6696705A1}"/>
  </w:font>
  <w:font w:name="方正小标宋简体">
    <w:panose1 w:val="02000000000000000000"/>
    <w:charset w:val="86"/>
    <w:family w:val="script"/>
    <w:pitch w:val="default"/>
    <w:sig w:usb0="00000001" w:usb1="08000000" w:usb2="00000000" w:usb3="00000000" w:csb0="00040000" w:csb1="00000000"/>
    <w:embedRegular r:id="rId5" w:fontKey="{6E92D8A5-51E3-4E8B-B34A-7418971C9434}"/>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embedRegular r:id="rId6" w:fontKey="{6F67F16C-8702-4F51-88EB-A9C93A40B786}"/>
  </w:font>
  <w:font w:name="Arial">
    <w:panose1 w:val="020B0604020202020204"/>
    <w:charset w:val="00"/>
    <w:family w:val="swiss"/>
    <w:pitch w:val="default"/>
    <w:sig w:usb0="E0002EFF" w:usb1="C000785B" w:usb2="00000009" w:usb3="00000000" w:csb0="400001FF" w:csb1="FFFF0000"/>
    <w:embedRegular r:id="rId7" w:fontKey="{B5CA76EA-4CFD-4D30-AE15-262B4902176E}"/>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8" w:fontKey="{808D2FBF-92A2-41BF-8D14-121B89A6D528}"/>
  </w:font>
  <w:font w:name="华文仿宋">
    <w:panose1 w:val="02010600040101010101"/>
    <w:charset w:val="86"/>
    <w:family w:val="auto"/>
    <w:pitch w:val="default"/>
    <w:sig w:usb0="00000287" w:usb1="080F0000" w:usb2="00000000" w:usb3="00000000" w:csb0="0004009F" w:csb1="DFD70000"/>
    <w:embedRegular r:id="rId9" w:fontKey="{B11E32D3-C896-4A82-BDE6-18D1DE97396E}"/>
  </w:font>
  <w:font w:name="µÈÏß Western">
    <w:altName w:val="Courier New"/>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60" w:firstLine="0" w:firstLineChars="0"/>
    </w:pPr>
  </w:p>
  <w:p>
    <w:pPr>
      <w:pStyle w:val="10"/>
      <w:ind w:firstLineChars="1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fldChar w:fldCharType="begin"/>
    </w:r>
    <w:r>
      <w:instrText xml:space="preserve">PAGE   \* MERGEFORMAT</w:instrText>
    </w:r>
    <w:r>
      <w:fldChar w:fldCharType="separate"/>
    </w:r>
    <w:r>
      <w:t>1</w:t>
    </w:r>
    <w:r>
      <w:fldChar w:fldCharType="end"/>
    </w:r>
  </w:p>
  <w:p>
    <w:pPr>
      <w:pStyle w:val="10"/>
      <w:ind w:firstLineChars="1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lang w:val="en-US"/>
      </w:rPr>
      <w:pict>
        <v:shape id="文本框 3" o:spid="_x0000_s2049" o:spt="202" type="#_x0000_t202" style="position:absolute;left:0pt;margin-top:0pt;height:144pt;width:144pt;mso-position-horizontal:center;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pPr>
                  <w:pStyle w:val="10"/>
                  <w:ind w:firstLine="360"/>
                  <w:jc w:val="center"/>
                </w:pPr>
                <w:r>
                  <w:fldChar w:fldCharType="begin"/>
                </w:r>
                <w:r>
                  <w:instrText xml:space="preserve">PAGE   \* MERGEFORMAT</w:instrText>
                </w:r>
                <w:r>
                  <w:fldChar w:fldCharType="separate"/>
                </w:r>
                <w:r>
                  <w:t>1</w:t>
                </w:r>
                <w:r>
                  <w:fldChar w:fldCharType="end"/>
                </w:r>
              </w:p>
            </w:txbxContent>
          </v:textbox>
        </v:shape>
      </w:pict>
    </w:r>
  </w:p>
  <w:p>
    <w:pPr>
      <w:pStyle w:val="10"/>
      <w:ind w:firstLineChars="1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rPr>
        <w:lang w:val="en-US"/>
      </w:rPr>
      <w:pict>
        <v:shape id="文本框 4" o:spid="_x0000_s2050" o:spt="202" type="#_x0000_t202" style="position:absolute;left:0pt;margin-top:0pt;height:144pt;width:144pt;mso-position-horizontal:center;mso-position-horizontal-relative:margin;mso-wrap-style:none;z-index:251660288;mso-width-relative:page;mso-height-relative:page;" filled="f" o:preferrelative="t" stroked="f" coordsize="21600,21600">
          <v:path/>
          <v:fill on="f" focussize="0,0"/>
          <v:stroke on="f" joinstyle="miter"/>
          <v:imagedata o:title=""/>
          <o:lock v:ext="edit"/>
          <v:textbox inset="0mm,0mm,0mm,0mm" style="mso-fit-shape-to-text:t;">
            <w:txbxContent>
              <w:p>
                <w:pPr>
                  <w:pStyle w:val="10"/>
                  <w:ind w:firstLine="360"/>
                  <w:jc w:val="center"/>
                </w:pPr>
                <w:r>
                  <w:fldChar w:fldCharType="begin"/>
                </w:r>
                <w:r>
                  <w:instrText xml:space="preserve">PAGE   \* MERGEFORMAT</w:instrText>
                </w:r>
                <w:r>
                  <w:fldChar w:fldCharType="separate"/>
                </w:r>
                <w:r>
                  <w:t>46</w:t>
                </w:r>
                <w:r>
                  <w:fldChar w:fldCharType="end"/>
                </w:r>
              </w:p>
            </w:txbxContent>
          </v:textbox>
        </v:shape>
      </w:pict>
    </w:r>
  </w:p>
  <w:p>
    <w:pPr>
      <w:pStyle w:val="10"/>
      <w:ind w:firstLineChars="1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WFmODEzMjhjYzAyOGQ2M2M1OWQ1ODAyZTg4N2UwN2UifQ=="/>
  </w:docVars>
  <w:rsids>
    <w:rsidRoot w:val="00A316AB"/>
    <w:rsid w:val="00001C2F"/>
    <w:rsid w:val="0000265D"/>
    <w:rsid w:val="00003559"/>
    <w:rsid w:val="000056C2"/>
    <w:rsid w:val="00006D28"/>
    <w:rsid w:val="000109CA"/>
    <w:rsid w:val="0001168C"/>
    <w:rsid w:val="000134B1"/>
    <w:rsid w:val="00016C40"/>
    <w:rsid w:val="00017E35"/>
    <w:rsid w:val="00020994"/>
    <w:rsid w:val="000212EE"/>
    <w:rsid w:val="000215C9"/>
    <w:rsid w:val="00021AE2"/>
    <w:rsid w:val="00025327"/>
    <w:rsid w:val="00026868"/>
    <w:rsid w:val="000320D1"/>
    <w:rsid w:val="00032253"/>
    <w:rsid w:val="0003227A"/>
    <w:rsid w:val="00032D30"/>
    <w:rsid w:val="0003671B"/>
    <w:rsid w:val="00041D6A"/>
    <w:rsid w:val="00041FE1"/>
    <w:rsid w:val="00050499"/>
    <w:rsid w:val="00051268"/>
    <w:rsid w:val="00052445"/>
    <w:rsid w:val="000554E5"/>
    <w:rsid w:val="00056095"/>
    <w:rsid w:val="00056805"/>
    <w:rsid w:val="00056C03"/>
    <w:rsid w:val="00062BF6"/>
    <w:rsid w:val="000634DC"/>
    <w:rsid w:val="000637C6"/>
    <w:rsid w:val="000668EA"/>
    <w:rsid w:val="000700EF"/>
    <w:rsid w:val="000737A4"/>
    <w:rsid w:val="00074A72"/>
    <w:rsid w:val="000764E9"/>
    <w:rsid w:val="000819C8"/>
    <w:rsid w:val="00081C06"/>
    <w:rsid w:val="0008447E"/>
    <w:rsid w:val="00087B6C"/>
    <w:rsid w:val="00091712"/>
    <w:rsid w:val="00091B29"/>
    <w:rsid w:val="00094A26"/>
    <w:rsid w:val="00096069"/>
    <w:rsid w:val="000A7D6F"/>
    <w:rsid w:val="000B08A4"/>
    <w:rsid w:val="000B2025"/>
    <w:rsid w:val="000B25FF"/>
    <w:rsid w:val="000B27F5"/>
    <w:rsid w:val="000B46DD"/>
    <w:rsid w:val="000B506E"/>
    <w:rsid w:val="000B79F5"/>
    <w:rsid w:val="000B7E1D"/>
    <w:rsid w:val="000C24C4"/>
    <w:rsid w:val="000C32A0"/>
    <w:rsid w:val="000C465E"/>
    <w:rsid w:val="000C5A1C"/>
    <w:rsid w:val="000C6743"/>
    <w:rsid w:val="000C735B"/>
    <w:rsid w:val="000D0115"/>
    <w:rsid w:val="000D1DAD"/>
    <w:rsid w:val="000D21E3"/>
    <w:rsid w:val="000D7614"/>
    <w:rsid w:val="000E2859"/>
    <w:rsid w:val="000E35B4"/>
    <w:rsid w:val="000E390D"/>
    <w:rsid w:val="000E5047"/>
    <w:rsid w:val="000E5758"/>
    <w:rsid w:val="000E582A"/>
    <w:rsid w:val="000E7D31"/>
    <w:rsid w:val="000E7ECC"/>
    <w:rsid w:val="000F0336"/>
    <w:rsid w:val="000F4BA5"/>
    <w:rsid w:val="000F5212"/>
    <w:rsid w:val="000F5B4B"/>
    <w:rsid w:val="000F755B"/>
    <w:rsid w:val="00105664"/>
    <w:rsid w:val="00105AEB"/>
    <w:rsid w:val="001072C7"/>
    <w:rsid w:val="00110387"/>
    <w:rsid w:val="00112E3E"/>
    <w:rsid w:val="00113C36"/>
    <w:rsid w:val="0012449E"/>
    <w:rsid w:val="00130A64"/>
    <w:rsid w:val="0013189E"/>
    <w:rsid w:val="0013376F"/>
    <w:rsid w:val="001342D2"/>
    <w:rsid w:val="00134645"/>
    <w:rsid w:val="001378F9"/>
    <w:rsid w:val="0014143D"/>
    <w:rsid w:val="00141682"/>
    <w:rsid w:val="00141B65"/>
    <w:rsid w:val="00141F29"/>
    <w:rsid w:val="00142722"/>
    <w:rsid w:val="00143FBF"/>
    <w:rsid w:val="00144521"/>
    <w:rsid w:val="00145C71"/>
    <w:rsid w:val="00146E75"/>
    <w:rsid w:val="00147CDE"/>
    <w:rsid w:val="0015131C"/>
    <w:rsid w:val="0015144A"/>
    <w:rsid w:val="00152AFE"/>
    <w:rsid w:val="00153804"/>
    <w:rsid w:val="00154C0C"/>
    <w:rsid w:val="001556C1"/>
    <w:rsid w:val="00155ACC"/>
    <w:rsid w:val="00157DBA"/>
    <w:rsid w:val="00160FAD"/>
    <w:rsid w:val="001653D4"/>
    <w:rsid w:val="00165C17"/>
    <w:rsid w:val="00166B11"/>
    <w:rsid w:val="001717A6"/>
    <w:rsid w:val="0017551C"/>
    <w:rsid w:val="00175EA9"/>
    <w:rsid w:val="00176902"/>
    <w:rsid w:val="00176D1E"/>
    <w:rsid w:val="00177AB3"/>
    <w:rsid w:val="001829A8"/>
    <w:rsid w:val="00185A82"/>
    <w:rsid w:val="0018611F"/>
    <w:rsid w:val="00186A21"/>
    <w:rsid w:val="00195152"/>
    <w:rsid w:val="0019758C"/>
    <w:rsid w:val="0019761C"/>
    <w:rsid w:val="00197D43"/>
    <w:rsid w:val="00197DE9"/>
    <w:rsid w:val="001A0263"/>
    <w:rsid w:val="001A3149"/>
    <w:rsid w:val="001A3DB2"/>
    <w:rsid w:val="001A4084"/>
    <w:rsid w:val="001A52CC"/>
    <w:rsid w:val="001A56DA"/>
    <w:rsid w:val="001A5BBD"/>
    <w:rsid w:val="001B0C60"/>
    <w:rsid w:val="001B1AF6"/>
    <w:rsid w:val="001B1C0E"/>
    <w:rsid w:val="001B29C7"/>
    <w:rsid w:val="001B3B87"/>
    <w:rsid w:val="001B47CC"/>
    <w:rsid w:val="001B6B05"/>
    <w:rsid w:val="001B7029"/>
    <w:rsid w:val="001B792C"/>
    <w:rsid w:val="001B7F03"/>
    <w:rsid w:val="001C0992"/>
    <w:rsid w:val="001C1FBD"/>
    <w:rsid w:val="001D20A6"/>
    <w:rsid w:val="001D4139"/>
    <w:rsid w:val="001D64A6"/>
    <w:rsid w:val="001D65BF"/>
    <w:rsid w:val="001E3BEC"/>
    <w:rsid w:val="001E5631"/>
    <w:rsid w:val="001F04D0"/>
    <w:rsid w:val="001F1F37"/>
    <w:rsid w:val="001F209B"/>
    <w:rsid w:val="001F3EA6"/>
    <w:rsid w:val="001F69E6"/>
    <w:rsid w:val="0020588F"/>
    <w:rsid w:val="00206B49"/>
    <w:rsid w:val="00211430"/>
    <w:rsid w:val="00214EEF"/>
    <w:rsid w:val="002168D0"/>
    <w:rsid w:val="00216E0E"/>
    <w:rsid w:val="0021763F"/>
    <w:rsid w:val="0022054E"/>
    <w:rsid w:val="00220CB8"/>
    <w:rsid w:val="002222C2"/>
    <w:rsid w:val="002261B8"/>
    <w:rsid w:val="00226D99"/>
    <w:rsid w:val="00231DEF"/>
    <w:rsid w:val="0023288E"/>
    <w:rsid w:val="00233012"/>
    <w:rsid w:val="0023527B"/>
    <w:rsid w:val="0023621E"/>
    <w:rsid w:val="00237E78"/>
    <w:rsid w:val="00240A21"/>
    <w:rsid w:val="00241D5E"/>
    <w:rsid w:val="002462B4"/>
    <w:rsid w:val="00250D84"/>
    <w:rsid w:val="00251D1A"/>
    <w:rsid w:val="00256D23"/>
    <w:rsid w:val="00260CD5"/>
    <w:rsid w:val="002610D2"/>
    <w:rsid w:val="00270A7C"/>
    <w:rsid w:val="002712BF"/>
    <w:rsid w:val="00273065"/>
    <w:rsid w:val="002747FE"/>
    <w:rsid w:val="00275299"/>
    <w:rsid w:val="00277382"/>
    <w:rsid w:val="00277D9E"/>
    <w:rsid w:val="002826BB"/>
    <w:rsid w:val="002830FE"/>
    <w:rsid w:val="00283892"/>
    <w:rsid w:val="00285459"/>
    <w:rsid w:val="0028557F"/>
    <w:rsid w:val="00287975"/>
    <w:rsid w:val="00294B4A"/>
    <w:rsid w:val="00294F2F"/>
    <w:rsid w:val="002A0A24"/>
    <w:rsid w:val="002A11FC"/>
    <w:rsid w:val="002A3C2B"/>
    <w:rsid w:val="002A4DE2"/>
    <w:rsid w:val="002A55AE"/>
    <w:rsid w:val="002A571C"/>
    <w:rsid w:val="002B20E6"/>
    <w:rsid w:val="002B503C"/>
    <w:rsid w:val="002B71F7"/>
    <w:rsid w:val="002B78AB"/>
    <w:rsid w:val="002C1036"/>
    <w:rsid w:val="002C20D3"/>
    <w:rsid w:val="002C2870"/>
    <w:rsid w:val="002C3785"/>
    <w:rsid w:val="002C5403"/>
    <w:rsid w:val="002C761C"/>
    <w:rsid w:val="002C7F34"/>
    <w:rsid w:val="002D033B"/>
    <w:rsid w:val="002D3D9C"/>
    <w:rsid w:val="002D4037"/>
    <w:rsid w:val="002E12AC"/>
    <w:rsid w:val="002E1D38"/>
    <w:rsid w:val="002E4DC8"/>
    <w:rsid w:val="002F1ECB"/>
    <w:rsid w:val="002F2050"/>
    <w:rsid w:val="002F3415"/>
    <w:rsid w:val="002F37D0"/>
    <w:rsid w:val="002F4876"/>
    <w:rsid w:val="002F6BDA"/>
    <w:rsid w:val="002F6E38"/>
    <w:rsid w:val="00302811"/>
    <w:rsid w:val="00302AF7"/>
    <w:rsid w:val="00303356"/>
    <w:rsid w:val="0030554E"/>
    <w:rsid w:val="00306290"/>
    <w:rsid w:val="00306B40"/>
    <w:rsid w:val="00311CCB"/>
    <w:rsid w:val="00312076"/>
    <w:rsid w:val="00314CB1"/>
    <w:rsid w:val="003159AB"/>
    <w:rsid w:val="00316ED1"/>
    <w:rsid w:val="003176C8"/>
    <w:rsid w:val="0032135F"/>
    <w:rsid w:val="003219DE"/>
    <w:rsid w:val="00321AE4"/>
    <w:rsid w:val="0032331F"/>
    <w:rsid w:val="003233C4"/>
    <w:rsid w:val="00323699"/>
    <w:rsid w:val="00323826"/>
    <w:rsid w:val="00324347"/>
    <w:rsid w:val="003252D7"/>
    <w:rsid w:val="003318BE"/>
    <w:rsid w:val="00333BC0"/>
    <w:rsid w:val="00333F02"/>
    <w:rsid w:val="003354FC"/>
    <w:rsid w:val="00335598"/>
    <w:rsid w:val="00335F67"/>
    <w:rsid w:val="00340342"/>
    <w:rsid w:val="003408A5"/>
    <w:rsid w:val="00341DF6"/>
    <w:rsid w:val="0034239A"/>
    <w:rsid w:val="00343A60"/>
    <w:rsid w:val="00343B5B"/>
    <w:rsid w:val="00345C25"/>
    <w:rsid w:val="00346EEB"/>
    <w:rsid w:val="003479E7"/>
    <w:rsid w:val="00350413"/>
    <w:rsid w:val="00351DD6"/>
    <w:rsid w:val="00351FE3"/>
    <w:rsid w:val="00352FFC"/>
    <w:rsid w:val="00355F59"/>
    <w:rsid w:val="00356CAD"/>
    <w:rsid w:val="00357A57"/>
    <w:rsid w:val="00357EFF"/>
    <w:rsid w:val="003616DA"/>
    <w:rsid w:val="00361C61"/>
    <w:rsid w:val="00362B11"/>
    <w:rsid w:val="0036366E"/>
    <w:rsid w:val="00364EAE"/>
    <w:rsid w:val="003658C7"/>
    <w:rsid w:val="00370236"/>
    <w:rsid w:val="00370FC8"/>
    <w:rsid w:val="003729A3"/>
    <w:rsid w:val="00373640"/>
    <w:rsid w:val="00374989"/>
    <w:rsid w:val="00375E25"/>
    <w:rsid w:val="00376460"/>
    <w:rsid w:val="00377372"/>
    <w:rsid w:val="00381C9F"/>
    <w:rsid w:val="003820F6"/>
    <w:rsid w:val="00382A66"/>
    <w:rsid w:val="00386095"/>
    <w:rsid w:val="00386992"/>
    <w:rsid w:val="0039512C"/>
    <w:rsid w:val="00395F3D"/>
    <w:rsid w:val="00396BF1"/>
    <w:rsid w:val="003A0614"/>
    <w:rsid w:val="003A105A"/>
    <w:rsid w:val="003A1A01"/>
    <w:rsid w:val="003A22FE"/>
    <w:rsid w:val="003A6C60"/>
    <w:rsid w:val="003A7D2D"/>
    <w:rsid w:val="003B2C8E"/>
    <w:rsid w:val="003B5FAA"/>
    <w:rsid w:val="003C0EA2"/>
    <w:rsid w:val="003C2A65"/>
    <w:rsid w:val="003C75F5"/>
    <w:rsid w:val="003C78A2"/>
    <w:rsid w:val="003D22B6"/>
    <w:rsid w:val="003D2F44"/>
    <w:rsid w:val="003D4BA8"/>
    <w:rsid w:val="003D7E63"/>
    <w:rsid w:val="003E19C7"/>
    <w:rsid w:val="003E3571"/>
    <w:rsid w:val="003E516A"/>
    <w:rsid w:val="003E618C"/>
    <w:rsid w:val="003E6EAA"/>
    <w:rsid w:val="003F5EC8"/>
    <w:rsid w:val="00401BC1"/>
    <w:rsid w:val="004035E9"/>
    <w:rsid w:val="004147C1"/>
    <w:rsid w:val="0041500B"/>
    <w:rsid w:val="00417696"/>
    <w:rsid w:val="004234D0"/>
    <w:rsid w:val="004306D0"/>
    <w:rsid w:val="004319AF"/>
    <w:rsid w:val="00435FDB"/>
    <w:rsid w:val="00436C86"/>
    <w:rsid w:val="0043781B"/>
    <w:rsid w:val="0044316A"/>
    <w:rsid w:val="00443483"/>
    <w:rsid w:val="004467CF"/>
    <w:rsid w:val="00450E02"/>
    <w:rsid w:val="00452A4C"/>
    <w:rsid w:val="00455A60"/>
    <w:rsid w:val="00455D8A"/>
    <w:rsid w:val="00461C7F"/>
    <w:rsid w:val="00461D2B"/>
    <w:rsid w:val="00461E11"/>
    <w:rsid w:val="00462B90"/>
    <w:rsid w:val="004738E8"/>
    <w:rsid w:val="004827E0"/>
    <w:rsid w:val="004828DD"/>
    <w:rsid w:val="00484164"/>
    <w:rsid w:val="00484387"/>
    <w:rsid w:val="00496690"/>
    <w:rsid w:val="00496A53"/>
    <w:rsid w:val="00497EBD"/>
    <w:rsid w:val="004A0823"/>
    <w:rsid w:val="004A1808"/>
    <w:rsid w:val="004A6675"/>
    <w:rsid w:val="004B372F"/>
    <w:rsid w:val="004B521A"/>
    <w:rsid w:val="004B5268"/>
    <w:rsid w:val="004B6665"/>
    <w:rsid w:val="004C03A9"/>
    <w:rsid w:val="004C1DA9"/>
    <w:rsid w:val="004C319B"/>
    <w:rsid w:val="004C45F0"/>
    <w:rsid w:val="004C7E94"/>
    <w:rsid w:val="004D0546"/>
    <w:rsid w:val="004D58F7"/>
    <w:rsid w:val="004D661D"/>
    <w:rsid w:val="004D66A6"/>
    <w:rsid w:val="004E5CCB"/>
    <w:rsid w:val="004E64D8"/>
    <w:rsid w:val="004F0009"/>
    <w:rsid w:val="004F11AA"/>
    <w:rsid w:val="004F4312"/>
    <w:rsid w:val="004F4D33"/>
    <w:rsid w:val="004F5144"/>
    <w:rsid w:val="00500A84"/>
    <w:rsid w:val="005014B9"/>
    <w:rsid w:val="0050277B"/>
    <w:rsid w:val="00503064"/>
    <w:rsid w:val="005052E3"/>
    <w:rsid w:val="005066E9"/>
    <w:rsid w:val="005070AB"/>
    <w:rsid w:val="0051031E"/>
    <w:rsid w:val="00511BAD"/>
    <w:rsid w:val="00514EBB"/>
    <w:rsid w:val="005162CC"/>
    <w:rsid w:val="0051681D"/>
    <w:rsid w:val="00516B33"/>
    <w:rsid w:val="00522280"/>
    <w:rsid w:val="00523E4F"/>
    <w:rsid w:val="005241EF"/>
    <w:rsid w:val="0052444F"/>
    <w:rsid w:val="00524CAF"/>
    <w:rsid w:val="00525CF5"/>
    <w:rsid w:val="00526C69"/>
    <w:rsid w:val="00527445"/>
    <w:rsid w:val="005274EE"/>
    <w:rsid w:val="00530567"/>
    <w:rsid w:val="00531869"/>
    <w:rsid w:val="00533022"/>
    <w:rsid w:val="0053367E"/>
    <w:rsid w:val="00534025"/>
    <w:rsid w:val="00537C2D"/>
    <w:rsid w:val="005405C4"/>
    <w:rsid w:val="00545CD7"/>
    <w:rsid w:val="005502CA"/>
    <w:rsid w:val="00551622"/>
    <w:rsid w:val="005524BE"/>
    <w:rsid w:val="00552AFE"/>
    <w:rsid w:val="00553213"/>
    <w:rsid w:val="00553418"/>
    <w:rsid w:val="0055439D"/>
    <w:rsid w:val="005543C7"/>
    <w:rsid w:val="00555415"/>
    <w:rsid w:val="00555D1F"/>
    <w:rsid w:val="00557F98"/>
    <w:rsid w:val="00567276"/>
    <w:rsid w:val="0057297A"/>
    <w:rsid w:val="0057360F"/>
    <w:rsid w:val="00573DA8"/>
    <w:rsid w:val="005754BE"/>
    <w:rsid w:val="00575EA7"/>
    <w:rsid w:val="00576D13"/>
    <w:rsid w:val="005776FF"/>
    <w:rsid w:val="00577E3A"/>
    <w:rsid w:val="00586C8F"/>
    <w:rsid w:val="00586DA9"/>
    <w:rsid w:val="00587902"/>
    <w:rsid w:val="00590796"/>
    <w:rsid w:val="005937BE"/>
    <w:rsid w:val="005A2345"/>
    <w:rsid w:val="005A4CAC"/>
    <w:rsid w:val="005A65AD"/>
    <w:rsid w:val="005A6F09"/>
    <w:rsid w:val="005A76A2"/>
    <w:rsid w:val="005B01F8"/>
    <w:rsid w:val="005B2944"/>
    <w:rsid w:val="005B48F3"/>
    <w:rsid w:val="005C26F2"/>
    <w:rsid w:val="005C3297"/>
    <w:rsid w:val="005C33A1"/>
    <w:rsid w:val="005C3723"/>
    <w:rsid w:val="005D06B0"/>
    <w:rsid w:val="005D073A"/>
    <w:rsid w:val="005D139F"/>
    <w:rsid w:val="005D1C44"/>
    <w:rsid w:val="005D4005"/>
    <w:rsid w:val="005D43E9"/>
    <w:rsid w:val="005D49C7"/>
    <w:rsid w:val="005E02A1"/>
    <w:rsid w:val="005E1CAD"/>
    <w:rsid w:val="005E2410"/>
    <w:rsid w:val="005E2DED"/>
    <w:rsid w:val="005E2FCB"/>
    <w:rsid w:val="005E770D"/>
    <w:rsid w:val="005F01A0"/>
    <w:rsid w:val="005F02A0"/>
    <w:rsid w:val="005F02A6"/>
    <w:rsid w:val="005F292E"/>
    <w:rsid w:val="005F2DD5"/>
    <w:rsid w:val="005F34E3"/>
    <w:rsid w:val="005F42A3"/>
    <w:rsid w:val="005F48AF"/>
    <w:rsid w:val="005F4BA4"/>
    <w:rsid w:val="005F53DA"/>
    <w:rsid w:val="005F6346"/>
    <w:rsid w:val="005F7F6E"/>
    <w:rsid w:val="005F7F83"/>
    <w:rsid w:val="00600222"/>
    <w:rsid w:val="0060204E"/>
    <w:rsid w:val="00605096"/>
    <w:rsid w:val="006079DF"/>
    <w:rsid w:val="00611F50"/>
    <w:rsid w:val="0061276C"/>
    <w:rsid w:val="00612A3B"/>
    <w:rsid w:val="00614919"/>
    <w:rsid w:val="00615148"/>
    <w:rsid w:val="00615868"/>
    <w:rsid w:val="006201E6"/>
    <w:rsid w:val="00620FE1"/>
    <w:rsid w:val="00621316"/>
    <w:rsid w:val="0062362C"/>
    <w:rsid w:val="00624CFF"/>
    <w:rsid w:val="00626D8D"/>
    <w:rsid w:val="00627E6A"/>
    <w:rsid w:val="0063119C"/>
    <w:rsid w:val="00631B22"/>
    <w:rsid w:val="006349FF"/>
    <w:rsid w:val="00635874"/>
    <w:rsid w:val="006419D9"/>
    <w:rsid w:val="00653C55"/>
    <w:rsid w:val="006579B3"/>
    <w:rsid w:val="00660482"/>
    <w:rsid w:val="006610FF"/>
    <w:rsid w:val="00664A61"/>
    <w:rsid w:val="00665867"/>
    <w:rsid w:val="00666BDA"/>
    <w:rsid w:val="00670C2C"/>
    <w:rsid w:val="00671032"/>
    <w:rsid w:val="006773DB"/>
    <w:rsid w:val="0068223D"/>
    <w:rsid w:val="006825B4"/>
    <w:rsid w:val="00682F01"/>
    <w:rsid w:val="006831DB"/>
    <w:rsid w:val="006841F9"/>
    <w:rsid w:val="00686366"/>
    <w:rsid w:val="0069112F"/>
    <w:rsid w:val="00693ABD"/>
    <w:rsid w:val="00697B82"/>
    <w:rsid w:val="006A13E5"/>
    <w:rsid w:val="006A214B"/>
    <w:rsid w:val="006A34BD"/>
    <w:rsid w:val="006A7542"/>
    <w:rsid w:val="006A7EA4"/>
    <w:rsid w:val="006B1A69"/>
    <w:rsid w:val="006B1B20"/>
    <w:rsid w:val="006B1DAE"/>
    <w:rsid w:val="006B5788"/>
    <w:rsid w:val="006B6B23"/>
    <w:rsid w:val="006B7599"/>
    <w:rsid w:val="006C40CD"/>
    <w:rsid w:val="006C6B6F"/>
    <w:rsid w:val="006C7E45"/>
    <w:rsid w:val="006D0486"/>
    <w:rsid w:val="006D38F2"/>
    <w:rsid w:val="006D4C64"/>
    <w:rsid w:val="006D5C9C"/>
    <w:rsid w:val="006E334F"/>
    <w:rsid w:val="006E3DD5"/>
    <w:rsid w:val="006E3F68"/>
    <w:rsid w:val="006E41B4"/>
    <w:rsid w:val="006E50BD"/>
    <w:rsid w:val="006F4EB3"/>
    <w:rsid w:val="007017DA"/>
    <w:rsid w:val="0070373A"/>
    <w:rsid w:val="007041B9"/>
    <w:rsid w:val="00704BF3"/>
    <w:rsid w:val="0070653E"/>
    <w:rsid w:val="007105AF"/>
    <w:rsid w:val="00710679"/>
    <w:rsid w:val="00715F78"/>
    <w:rsid w:val="00721CFC"/>
    <w:rsid w:val="00723FFD"/>
    <w:rsid w:val="00725C91"/>
    <w:rsid w:val="00731DDD"/>
    <w:rsid w:val="007328AE"/>
    <w:rsid w:val="00734167"/>
    <w:rsid w:val="007355B0"/>
    <w:rsid w:val="00737662"/>
    <w:rsid w:val="00741641"/>
    <w:rsid w:val="0074453D"/>
    <w:rsid w:val="00744ABB"/>
    <w:rsid w:val="00746F80"/>
    <w:rsid w:val="00750764"/>
    <w:rsid w:val="00753AD3"/>
    <w:rsid w:val="00753D74"/>
    <w:rsid w:val="0075534C"/>
    <w:rsid w:val="00755E6F"/>
    <w:rsid w:val="0076409F"/>
    <w:rsid w:val="00764986"/>
    <w:rsid w:val="00764A7D"/>
    <w:rsid w:val="00767961"/>
    <w:rsid w:val="007703CA"/>
    <w:rsid w:val="00770DF1"/>
    <w:rsid w:val="0077140A"/>
    <w:rsid w:val="00772764"/>
    <w:rsid w:val="007752DA"/>
    <w:rsid w:val="00776436"/>
    <w:rsid w:val="0077721C"/>
    <w:rsid w:val="00783BFA"/>
    <w:rsid w:val="00784553"/>
    <w:rsid w:val="00784891"/>
    <w:rsid w:val="00790803"/>
    <w:rsid w:val="007909AB"/>
    <w:rsid w:val="007934D5"/>
    <w:rsid w:val="00796674"/>
    <w:rsid w:val="00796B11"/>
    <w:rsid w:val="00796B42"/>
    <w:rsid w:val="007979E2"/>
    <w:rsid w:val="007A1B56"/>
    <w:rsid w:val="007B053B"/>
    <w:rsid w:val="007B34F0"/>
    <w:rsid w:val="007B47E9"/>
    <w:rsid w:val="007B4DCB"/>
    <w:rsid w:val="007B684F"/>
    <w:rsid w:val="007B79BA"/>
    <w:rsid w:val="007C1836"/>
    <w:rsid w:val="007C2DCF"/>
    <w:rsid w:val="007C35A6"/>
    <w:rsid w:val="007C3C12"/>
    <w:rsid w:val="007C7D2F"/>
    <w:rsid w:val="007D01F9"/>
    <w:rsid w:val="007D495E"/>
    <w:rsid w:val="007D4B38"/>
    <w:rsid w:val="007D4D4A"/>
    <w:rsid w:val="007D59A9"/>
    <w:rsid w:val="007E4774"/>
    <w:rsid w:val="007E4A5D"/>
    <w:rsid w:val="007E59D7"/>
    <w:rsid w:val="007E6CC5"/>
    <w:rsid w:val="007F019F"/>
    <w:rsid w:val="007F02A2"/>
    <w:rsid w:val="007F4129"/>
    <w:rsid w:val="007F73B7"/>
    <w:rsid w:val="008056F2"/>
    <w:rsid w:val="008059BD"/>
    <w:rsid w:val="0081018D"/>
    <w:rsid w:val="00810813"/>
    <w:rsid w:val="00813071"/>
    <w:rsid w:val="0081699A"/>
    <w:rsid w:val="00817BEF"/>
    <w:rsid w:val="00817D3C"/>
    <w:rsid w:val="008231AA"/>
    <w:rsid w:val="00824F53"/>
    <w:rsid w:val="00830C26"/>
    <w:rsid w:val="00832ED0"/>
    <w:rsid w:val="00833E00"/>
    <w:rsid w:val="00834FE4"/>
    <w:rsid w:val="00835396"/>
    <w:rsid w:val="00836588"/>
    <w:rsid w:val="00842D5F"/>
    <w:rsid w:val="00843428"/>
    <w:rsid w:val="008463B1"/>
    <w:rsid w:val="00846B2F"/>
    <w:rsid w:val="008605CE"/>
    <w:rsid w:val="00864AFA"/>
    <w:rsid w:val="00864EF0"/>
    <w:rsid w:val="00870427"/>
    <w:rsid w:val="00870CC1"/>
    <w:rsid w:val="008757EC"/>
    <w:rsid w:val="00876CF0"/>
    <w:rsid w:val="0088068D"/>
    <w:rsid w:val="0088280E"/>
    <w:rsid w:val="00883BC7"/>
    <w:rsid w:val="00884821"/>
    <w:rsid w:val="0088745E"/>
    <w:rsid w:val="008900F2"/>
    <w:rsid w:val="00891725"/>
    <w:rsid w:val="00892040"/>
    <w:rsid w:val="008923EA"/>
    <w:rsid w:val="0089241B"/>
    <w:rsid w:val="00893575"/>
    <w:rsid w:val="008A0204"/>
    <w:rsid w:val="008A0907"/>
    <w:rsid w:val="008A189E"/>
    <w:rsid w:val="008A3B48"/>
    <w:rsid w:val="008A4D81"/>
    <w:rsid w:val="008A5517"/>
    <w:rsid w:val="008B168D"/>
    <w:rsid w:val="008B2119"/>
    <w:rsid w:val="008B3398"/>
    <w:rsid w:val="008C0B2C"/>
    <w:rsid w:val="008C20D1"/>
    <w:rsid w:val="008C434E"/>
    <w:rsid w:val="008D09C6"/>
    <w:rsid w:val="008D2D7B"/>
    <w:rsid w:val="008D3B2A"/>
    <w:rsid w:val="008D7506"/>
    <w:rsid w:val="008E12C1"/>
    <w:rsid w:val="008E2174"/>
    <w:rsid w:val="008E3706"/>
    <w:rsid w:val="008E3E09"/>
    <w:rsid w:val="008E62EE"/>
    <w:rsid w:val="008F19D2"/>
    <w:rsid w:val="008F2B8D"/>
    <w:rsid w:val="008F3E3F"/>
    <w:rsid w:val="008F4FA9"/>
    <w:rsid w:val="008F534D"/>
    <w:rsid w:val="008F58DE"/>
    <w:rsid w:val="008F5B3C"/>
    <w:rsid w:val="008F6A02"/>
    <w:rsid w:val="008F7621"/>
    <w:rsid w:val="009005D2"/>
    <w:rsid w:val="00900E60"/>
    <w:rsid w:val="00901806"/>
    <w:rsid w:val="009055CC"/>
    <w:rsid w:val="0090566A"/>
    <w:rsid w:val="009062A2"/>
    <w:rsid w:val="0090692B"/>
    <w:rsid w:val="0090698D"/>
    <w:rsid w:val="00912921"/>
    <w:rsid w:val="00915335"/>
    <w:rsid w:val="00915682"/>
    <w:rsid w:val="00916D1C"/>
    <w:rsid w:val="00921014"/>
    <w:rsid w:val="009232E2"/>
    <w:rsid w:val="00925422"/>
    <w:rsid w:val="00925B41"/>
    <w:rsid w:val="009267F6"/>
    <w:rsid w:val="00926F73"/>
    <w:rsid w:val="00927E9E"/>
    <w:rsid w:val="009309A8"/>
    <w:rsid w:val="009309B7"/>
    <w:rsid w:val="00932F8D"/>
    <w:rsid w:val="00932FC4"/>
    <w:rsid w:val="009338D3"/>
    <w:rsid w:val="00934168"/>
    <w:rsid w:val="009362C6"/>
    <w:rsid w:val="009367F3"/>
    <w:rsid w:val="0093781F"/>
    <w:rsid w:val="00941276"/>
    <w:rsid w:val="00944BF6"/>
    <w:rsid w:val="00947647"/>
    <w:rsid w:val="0095034E"/>
    <w:rsid w:val="00950E2D"/>
    <w:rsid w:val="009528A7"/>
    <w:rsid w:val="00954290"/>
    <w:rsid w:val="009579F9"/>
    <w:rsid w:val="00957F92"/>
    <w:rsid w:val="00960D14"/>
    <w:rsid w:val="00961B65"/>
    <w:rsid w:val="00961F49"/>
    <w:rsid w:val="00964E81"/>
    <w:rsid w:val="0096752C"/>
    <w:rsid w:val="00970E06"/>
    <w:rsid w:val="00975D0F"/>
    <w:rsid w:val="00976267"/>
    <w:rsid w:val="009763B3"/>
    <w:rsid w:val="009775A4"/>
    <w:rsid w:val="00982284"/>
    <w:rsid w:val="00985723"/>
    <w:rsid w:val="00986D14"/>
    <w:rsid w:val="00992CA6"/>
    <w:rsid w:val="00994BA7"/>
    <w:rsid w:val="00995318"/>
    <w:rsid w:val="00996597"/>
    <w:rsid w:val="00997C4F"/>
    <w:rsid w:val="009A0F92"/>
    <w:rsid w:val="009A42C6"/>
    <w:rsid w:val="009A5D50"/>
    <w:rsid w:val="009B0363"/>
    <w:rsid w:val="009B0FFF"/>
    <w:rsid w:val="009B2C18"/>
    <w:rsid w:val="009B4F5F"/>
    <w:rsid w:val="009B58B3"/>
    <w:rsid w:val="009B71A3"/>
    <w:rsid w:val="009C13F8"/>
    <w:rsid w:val="009C1D0B"/>
    <w:rsid w:val="009C2372"/>
    <w:rsid w:val="009C596F"/>
    <w:rsid w:val="009D03C6"/>
    <w:rsid w:val="009D19CC"/>
    <w:rsid w:val="009D22C2"/>
    <w:rsid w:val="009D2D37"/>
    <w:rsid w:val="009E30D8"/>
    <w:rsid w:val="009E3955"/>
    <w:rsid w:val="009E4E19"/>
    <w:rsid w:val="009E6933"/>
    <w:rsid w:val="009E7855"/>
    <w:rsid w:val="009F416D"/>
    <w:rsid w:val="00A026FD"/>
    <w:rsid w:val="00A028F7"/>
    <w:rsid w:val="00A02AF3"/>
    <w:rsid w:val="00A02B6F"/>
    <w:rsid w:val="00A0344E"/>
    <w:rsid w:val="00A0426C"/>
    <w:rsid w:val="00A100D9"/>
    <w:rsid w:val="00A106A3"/>
    <w:rsid w:val="00A11E95"/>
    <w:rsid w:val="00A13253"/>
    <w:rsid w:val="00A155F4"/>
    <w:rsid w:val="00A17132"/>
    <w:rsid w:val="00A1761B"/>
    <w:rsid w:val="00A22F21"/>
    <w:rsid w:val="00A247BE"/>
    <w:rsid w:val="00A256A6"/>
    <w:rsid w:val="00A30319"/>
    <w:rsid w:val="00A30D39"/>
    <w:rsid w:val="00A316AB"/>
    <w:rsid w:val="00A32148"/>
    <w:rsid w:val="00A32D54"/>
    <w:rsid w:val="00A32EA0"/>
    <w:rsid w:val="00A3322C"/>
    <w:rsid w:val="00A33BE6"/>
    <w:rsid w:val="00A35754"/>
    <w:rsid w:val="00A36098"/>
    <w:rsid w:val="00A36691"/>
    <w:rsid w:val="00A42BF7"/>
    <w:rsid w:val="00A43DEC"/>
    <w:rsid w:val="00A47EED"/>
    <w:rsid w:val="00A536D2"/>
    <w:rsid w:val="00A53FA6"/>
    <w:rsid w:val="00A54B2B"/>
    <w:rsid w:val="00A56C0E"/>
    <w:rsid w:val="00A6317A"/>
    <w:rsid w:val="00A63636"/>
    <w:rsid w:val="00A65050"/>
    <w:rsid w:val="00A65123"/>
    <w:rsid w:val="00A67884"/>
    <w:rsid w:val="00A704C4"/>
    <w:rsid w:val="00A709B4"/>
    <w:rsid w:val="00A7328A"/>
    <w:rsid w:val="00A74076"/>
    <w:rsid w:val="00A75C48"/>
    <w:rsid w:val="00A76288"/>
    <w:rsid w:val="00A76336"/>
    <w:rsid w:val="00A7721B"/>
    <w:rsid w:val="00A8508D"/>
    <w:rsid w:val="00A85D08"/>
    <w:rsid w:val="00A86330"/>
    <w:rsid w:val="00A901A9"/>
    <w:rsid w:val="00A953DC"/>
    <w:rsid w:val="00A95E85"/>
    <w:rsid w:val="00A95F6A"/>
    <w:rsid w:val="00A9659D"/>
    <w:rsid w:val="00AA49D9"/>
    <w:rsid w:val="00AB0646"/>
    <w:rsid w:val="00AB1C89"/>
    <w:rsid w:val="00AB2A97"/>
    <w:rsid w:val="00AB2E2E"/>
    <w:rsid w:val="00AB3639"/>
    <w:rsid w:val="00AB64A5"/>
    <w:rsid w:val="00AB6789"/>
    <w:rsid w:val="00AB694B"/>
    <w:rsid w:val="00AC2BBA"/>
    <w:rsid w:val="00AC4A07"/>
    <w:rsid w:val="00AC4EDA"/>
    <w:rsid w:val="00AC53EB"/>
    <w:rsid w:val="00AC7F60"/>
    <w:rsid w:val="00AD39E5"/>
    <w:rsid w:val="00AD5542"/>
    <w:rsid w:val="00AD5ADE"/>
    <w:rsid w:val="00AE109D"/>
    <w:rsid w:val="00AE2FD4"/>
    <w:rsid w:val="00AE5783"/>
    <w:rsid w:val="00AE6CDD"/>
    <w:rsid w:val="00AF0147"/>
    <w:rsid w:val="00AF07AE"/>
    <w:rsid w:val="00AF0881"/>
    <w:rsid w:val="00AF25CB"/>
    <w:rsid w:val="00AF3A46"/>
    <w:rsid w:val="00AF5EA6"/>
    <w:rsid w:val="00B0030F"/>
    <w:rsid w:val="00B00A28"/>
    <w:rsid w:val="00B03B5B"/>
    <w:rsid w:val="00B04032"/>
    <w:rsid w:val="00B04616"/>
    <w:rsid w:val="00B0496D"/>
    <w:rsid w:val="00B10F26"/>
    <w:rsid w:val="00B1156C"/>
    <w:rsid w:val="00B1166C"/>
    <w:rsid w:val="00B11FA5"/>
    <w:rsid w:val="00B12537"/>
    <w:rsid w:val="00B13459"/>
    <w:rsid w:val="00B143B9"/>
    <w:rsid w:val="00B20290"/>
    <w:rsid w:val="00B22869"/>
    <w:rsid w:val="00B23232"/>
    <w:rsid w:val="00B25FC9"/>
    <w:rsid w:val="00B26CBF"/>
    <w:rsid w:val="00B26FA3"/>
    <w:rsid w:val="00B3303F"/>
    <w:rsid w:val="00B33C5F"/>
    <w:rsid w:val="00B348D1"/>
    <w:rsid w:val="00B3625A"/>
    <w:rsid w:val="00B41256"/>
    <w:rsid w:val="00B42328"/>
    <w:rsid w:val="00B475ED"/>
    <w:rsid w:val="00B5375D"/>
    <w:rsid w:val="00B54030"/>
    <w:rsid w:val="00B56009"/>
    <w:rsid w:val="00B710AB"/>
    <w:rsid w:val="00B7536F"/>
    <w:rsid w:val="00B77773"/>
    <w:rsid w:val="00B80DD2"/>
    <w:rsid w:val="00B81BEE"/>
    <w:rsid w:val="00B8394E"/>
    <w:rsid w:val="00B84C2A"/>
    <w:rsid w:val="00B86FEE"/>
    <w:rsid w:val="00B90341"/>
    <w:rsid w:val="00B90E29"/>
    <w:rsid w:val="00B917A1"/>
    <w:rsid w:val="00B917AC"/>
    <w:rsid w:val="00B93043"/>
    <w:rsid w:val="00B94459"/>
    <w:rsid w:val="00B96860"/>
    <w:rsid w:val="00BA2E98"/>
    <w:rsid w:val="00BA4E35"/>
    <w:rsid w:val="00BA720A"/>
    <w:rsid w:val="00BB11E3"/>
    <w:rsid w:val="00BB1E60"/>
    <w:rsid w:val="00BB236F"/>
    <w:rsid w:val="00BB2C91"/>
    <w:rsid w:val="00BB4E2B"/>
    <w:rsid w:val="00BB6C1A"/>
    <w:rsid w:val="00BB7278"/>
    <w:rsid w:val="00BC0872"/>
    <w:rsid w:val="00BC122D"/>
    <w:rsid w:val="00BC55AA"/>
    <w:rsid w:val="00BC5908"/>
    <w:rsid w:val="00BD3D71"/>
    <w:rsid w:val="00BD485B"/>
    <w:rsid w:val="00BD4AF8"/>
    <w:rsid w:val="00BE114B"/>
    <w:rsid w:val="00BE3F3C"/>
    <w:rsid w:val="00BE66E3"/>
    <w:rsid w:val="00BF1828"/>
    <w:rsid w:val="00BF3225"/>
    <w:rsid w:val="00BF352F"/>
    <w:rsid w:val="00BF75BE"/>
    <w:rsid w:val="00C00DBE"/>
    <w:rsid w:val="00C01E50"/>
    <w:rsid w:val="00C0507A"/>
    <w:rsid w:val="00C0691E"/>
    <w:rsid w:val="00C07F1C"/>
    <w:rsid w:val="00C10604"/>
    <w:rsid w:val="00C10A78"/>
    <w:rsid w:val="00C110E7"/>
    <w:rsid w:val="00C116EA"/>
    <w:rsid w:val="00C15A57"/>
    <w:rsid w:val="00C17B24"/>
    <w:rsid w:val="00C20D1A"/>
    <w:rsid w:val="00C25513"/>
    <w:rsid w:val="00C26AFC"/>
    <w:rsid w:val="00C26DDD"/>
    <w:rsid w:val="00C3046D"/>
    <w:rsid w:val="00C305FD"/>
    <w:rsid w:val="00C30DE3"/>
    <w:rsid w:val="00C338DF"/>
    <w:rsid w:val="00C33F75"/>
    <w:rsid w:val="00C405B3"/>
    <w:rsid w:val="00C42D5A"/>
    <w:rsid w:val="00C42FD7"/>
    <w:rsid w:val="00C43162"/>
    <w:rsid w:val="00C43829"/>
    <w:rsid w:val="00C45FE3"/>
    <w:rsid w:val="00C50F24"/>
    <w:rsid w:val="00C523CF"/>
    <w:rsid w:val="00C5311F"/>
    <w:rsid w:val="00C53166"/>
    <w:rsid w:val="00C54F1E"/>
    <w:rsid w:val="00C552D5"/>
    <w:rsid w:val="00C55B42"/>
    <w:rsid w:val="00C626D7"/>
    <w:rsid w:val="00C633B9"/>
    <w:rsid w:val="00C63975"/>
    <w:rsid w:val="00C66B7B"/>
    <w:rsid w:val="00C670BA"/>
    <w:rsid w:val="00C673B5"/>
    <w:rsid w:val="00C708D4"/>
    <w:rsid w:val="00C71037"/>
    <w:rsid w:val="00C71B11"/>
    <w:rsid w:val="00C72FDA"/>
    <w:rsid w:val="00C7321B"/>
    <w:rsid w:val="00C73BA7"/>
    <w:rsid w:val="00C84073"/>
    <w:rsid w:val="00C860CF"/>
    <w:rsid w:val="00C9182F"/>
    <w:rsid w:val="00C95CAB"/>
    <w:rsid w:val="00C97A4C"/>
    <w:rsid w:val="00CA0B2C"/>
    <w:rsid w:val="00CA2FCF"/>
    <w:rsid w:val="00CA3CF1"/>
    <w:rsid w:val="00CA4913"/>
    <w:rsid w:val="00CA4CF0"/>
    <w:rsid w:val="00CA5103"/>
    <w:rsid w:val="00CA71BB"/>
    <w:rsid w:val="00CB03F7"/>
    <w:rsid w:val="00CB2336"/>
    <w:rsid w:val="00CB3936"/>
    <w:rsid w:val="00CB6899"/>
    <w:rsid w:val="00CB6993"/>
    <w:rsid w:val="00CC0297"/>
    <w:rsid w:val="00CC1326"/>
    <w:rsid w:val="00CC2DFA"/>
    <w:rsid w:val="00CC4271"/>
    <w:rsid w:val="00CC537C"/>
    <w:rsid w:val="00CC53D3"/>
    <w:rsid w:val="00CC551E"/>
    <w:rsid w:val="00CC789E"/>
    <w:rsid w:val="00CD397F"/>
    <w:rsid w:val="00CD4959"/>
    <w:rsid w:val="00CD7B3F"/>
    <w:rsid w:val="00CE0454"/>
    <w:rsid w:val="00CE0455"/>
    <w:rsid w:val="00CE1497"/>
    <w:rsid w:val="00CE2B38"/>
    <w:rsid w:val="00CE5D4F"/>
    <w:rsid w:val="00CE5F6B"/>
    <w:rsid w:val="00CE656D"/>
    <w:rsid w:val="00CE70A8"/>
    <w:rsid w:val="00CF1C46"/>
    <w:rsid w:val="00CF3374"/>
    <w:rsid w:val="00D06BE8"/>
    <w:rsid w:val="00D07238"/>
    <w:rsid w:val="00D07A87"/>
    <w:rsid w:val="00D11CF9"/>
    <w:rsid w:val="00D12AF5"/>
    <w:rsid w:val="00D13AF2"/>
    <w:rsid w:val="00D16384"/>
    <w:rsid w:val="00D21457"/>
    <w:rsid w:val="00D21FD6"/>
    <w:rsid w:val="00D24194"/>
    <w:rsid w:val="00D245CF"/>
    <w:rsid w:val="00D24884"/>
    <w:rsid w:val="00D269E9"/>
    <w:rsid w:val="00D31730"/>
    <w:rsid w:val="00D31C21"/>
    <w:rsid w:val="00D33578"/>
    <w:rsid w:val="00D344D8"/>
    <w:rsid w:val="00D40784"/>
    <w:rsid w:val="00D41F85"/>
    <w:rsid w:val="00D42804"/>
    <w:rsid w:val="00D4399A"/>
    <w:rsid w:val="00D44C16"/>
    <w:rsid w:val="00D4598D"/>
    <w:rsid w:val="00D460C8"/>
    <w:rsid w:val="00D4620C"/>
    <w:rsid w:val="00D4778C"/>
    <w:rsid w:val="00D47A42"/>
    <w:rsid w:val="00D50406"/>
    <w:rsid w:val="00D53146"/>
    <w:rsid w:val="00D5399F"/>
    <w:rsid w:val="00D54491"/>
    <w:rsid w:val="00D62694"/>
    <w:rsid w:val="00D62D6B"/>
    <w:rsid w:val="00D6532E"/>
    <w:rsid w:val="00D662AF"/>
    <w:rsid w:val="00D66313"/>
    <w:rsid w:val="00D70970"/>
    <w:rsid w:val="00D7133B"/>
    <w:rsid w:val="00D7269B"/>
    <w:rsid w:val="00D74DBC"/>
    <w:rsid w:val="00D74DCE"/>
    <w:rsid w:val="00D7652E"/>
    <w:rsid w:val="00D83632"/>
    <w:rsid w:val="00D853DE"/>
    <w:rsid w:val="00D87101"/>
    <w:rsid w:val="00D87F2B"/>
    <w:rsid w:val="00D93D7C"/>
    <w:rsid w:val="00D95137"/>
    <w:rsid w:val="00D95160"/>
    <w:rsid w:val="00D95C07"/>
    <w:rsid w:val="00D9673D"/>
    <w:rsid w:val="00DA0E64"/>
    <w:rsid w:val="00DA3325"/>
    <w:rsid w:val="00DA43F5"/>
    <w:rsid w:val="00DA4A3D"/>
    <w:rsid w:val="00DA6626"/>
    <w:rsid w:val="00DA7B56"/>
    <w:rsid w:val="00DA7C0D"/>
    <w:rsid w:val="00DB412F"/>
    <w:rsid w:val="00DB7BA6"/>
    <w:rsid w:val="00DC28C3"/>
    <w:rsid w:val="00DC78B1"/>
    <w:rsid w:val="00DD46B2"/>
    <w:rsid w:val="00DD4932"/>
    <w:rsid w:val="00DE080F"/>
    <w:rsid w:val="00DE3A82"/>
    <w:rsid w:val="00DE3D3F"/>
    <w:rsid w:val="00DE4AA3"/>
    <w:rsid w:val="00DE6AA1"/>
    <w:rsid w:val="00DE6B43"/>
    <w:rsid w:val="00DE7F71"/>
    <w:rsid w:val="00DF15E8"/>
    <w:rsid w:val="00DF1828"/>
    <w:rsid w:val="00E05163"/>
    <w:rsid w:val="00E0545F"/>
    <w:rsid w:val="00E21063"/>
    <w:rsid w:val="00E226D0"/>
    <w:rsid w:val="00E25219"/>
    <w:rsid w:val="00E27359"/>
    <w:rsid w:val="00E3083D"/>
    <w:rsid w:val="00E3341F"/>
    <w:rsid w:val="00E335B6"/>
    <w:rsid w:val="00E344CE"/>
    <w:rsid w:val="00E4711D"/>
    <w:rsid w:val="00E47620"/>
    <w:rsid w:val="00E52412"/>
    <w:rsid w:val="00E53FA0"/>
    <w:rsid w:val="00E547D6"/>
    <w:rsid w:val="00E560A0"/>
    <w:rsid w:val="00E61A38"/>
    <w:rsid w:val="00E66725"/>
    <w:rsid w:val="00E674CC"/>
    <w:rsid w:val="00E7082E"/>
    <w:rsid w:val="00E711E5"/>
    <w:rsid w:val="00E71AF8"/>
    <w:rsid w:val="00E71EBD"/>
    <w:rsid w:val="00E71FDA"/>
    <w:rsid w:val="00E76BA3"/>
    <w:rsid w:val="00E76BE7"/>
    <w:rsid w:val="00E77605"/>
    <w:rsid w:val="00E8255C"/>
    <w:rsid w:val="00E82FA8"/>
    <w:rsid w:val="00E842BA"/>
    <w:rsid w:val="00E84702"/>
    <w:rsid w:val="00E84D3F"/>
    <w:rsid w:val="00E86AD6"/>
    <w:rsid w:val="00E90AFB"/>
    <w:rsid w:val="00E90CBB"/>
    <w:rsid w:val="00E914F0"/>
    <w:rsid w:val="00E918BE"/>
    <w:rsid w:val="00E95BD1"/>
    <w:rsid w:val="00EA1555"/>
    <w:rsid w:val="00EA41C4"/>
    <w:rsid w:val="00EA6C51"/>
    <w:rsid w:val="00EA709F"/>
    <w:rsid w:val="00EB006D"/>
    <w:rsid w:val="00EB40B4"/>
    <w:rsid w:val="00EB4820"/>
    <w:rsid w:val="00EB5AEB"/>
    <w:rsid w:val="00EB6357"/>
    <w:rsid w:val="00EB67C2"/>
    <w:rsid w:val="00EB7808"/>
    <w:rsid w:val="00EC0A59"/>
    <w:rsid w:val="00EC2A75"/>
    <w:rsid w:val="00EC3B10"/>
    <w:rsid w:val="00EC4932"/>
    <w:rsid w:val="00ED1030"/>
    <w:rsid w:val="00ED3A57"/>
    <w:rsid w:val="00ED4950"/>
    <w:rsid w:val="00ED4CFF"/>
    <w:rsid w:val="00EE12EC"/>
    <w:rsid w:val="00EE1E38"/>
    <w:rsid w:val="00EE26FE"/>
    <w:rsid w:val="00EE2E8F"/>
    <w:rsid w:val="00EF4189"/>
    <w:rsid w:val="00EF44CB"/>
    <w:rsid w:val="00EF4885"/>
    <w:rsid w:val="00EF5855"/>
    <w:rsid w:val="00F00222"/>
    <w:rsid w:val="00F00B1C"/>
    <w:rsid w:val="00F00D97"/>
    <w:rsid w:val="00F03663"/>
    <w:rsid w:val="00F05F43"/>
    <w:rsid w:val="00F104C6"/>
    <w:rsid w:val="00F13BA1"/>
    <w:rsid w:val="00F15D05"/>
    <w:rsid w:val="00F15FE2"/>
    <w:rsid w:val="00F1742A"/>
    <w:rsid w:val="00F2615A"/>
    <w:rsid w:val="00F305B5"/>
    <w:rsid w:val="00F30C41"/>
    <w:rsid w:val="00F31127"/>
    <w:rsid w:val="00F31E3E"/>
    <w:rsid w:val="00F34B7F"/>
    <w:rsid w:val="00F34F7D"/>
    <w:rsid w:val="00F36DA6"/>
    <w:rsid w:val="00F37052"/>
    <w:rsid w:val="00F3748E"/>
    <w:rsid w:val="00F37D61"/>
    <w:rsid w:val="00F40EE3"/>
    <w:rsid w:val="00F44910"/>
    <w:rsid w:val="00F44962"/>
    <w:rsid w:val="00F45930"/>
    <w:rsid w:val="00F50CD2"/>
    <w:rsid w:val="00F53919"/>
    <w:rsid w:val="00F55BEE"/>
    <w:rsid w:val="00F568F6"/>
    <w:rsid w:val="00F57E8D"/>
    <w:rsid w:val="00F6342A"/>
    <w:rsid w:val="00F6426C"/>
    <w:rsid w:val="00F76250"/>
    <w:rsid w:val="00F81F58"/>
    <w:rsid w:val="00F8275F"/>
    <w:rsid w:val="00F83650"/>
    <w:rsid w:val="00F863EE"/>
    <w:rsid w:val="00F8682E"/>
    <w:rsid w:val="00F86C5C"/>
    <w:rsid w:val="00F90A0A"/>
    <w:rsid w:val="00F918CE"/>
    <w:rsid w:val="00F93F10"/>
    <w:rsid w:val="00F94D4B"/>
    <w:rsid w:val="00FA03A9"/>
    <w:rsid w:val="00FA0BBC"/>
    <w:rsid w:val="00FA1201"/>
    <w:rsid w:val="00FA1754"/>
    <w:rsid w:val="00FA39BA"/>
    <w:rsid w:val="00FA3F57"/>
    <w:rsid w:val="00FA550B"/>
    <w:rsid w:val="00FB1D3B"/>
    <w:rsid w:val="00FB55AF"/>
    <w:rsid w:val="00FB5A52"/>
    <w:rsid w:val="00FB5E62"/>
    <w:rsid w:val="00FC0BEE"/>
    <w:rsid w:val="00FC0DFA"/>
    <w:rsid w:val="00FC0F58"/>
    <w:rsid w:val="00FC1424"/>
    <w:rsid w:val="00FC1A6E"/>
    <w:rsid w:val="00FC2DA3"/>
    <w:rsid w:val="00FC338B"/>
    <w:rsid w:val="00FC54F7"/>
    <w:rsid w:val="00FC5A22"/>
    <w:rsid w:val="00FD0024"/>
    <w:rsid w:val="00FD0A28"/>
    <w:rsid w:val="00FD2047"/>
    <w:rsid w:val="00FD28A2"/>
    <w:rsid w:val="00FD3613"/>
    <w:rsid w:val="00FD48D4"/>
    <w:rsid w:val="00FD6B8E"/>
    <w:rsid w:val="00FE04EE"/>
    <w:rsid w:val="00FE3869"/>
    <w:rsid w:val="00FE6A52"/>
    <w:rsid w:val="00FF050A"/>
    <w:rsid w:val="00FF0E01"/>
    <w:rsid w:val="00FF14A1"/>
    <w:rsid w:val="00FF221D"/>
    <w:rsid w:val="00FF553B"/>
    <w:rsid w:val="1630508D"/>
    <w:rsid w:val="2FDA14E9"/>
    <w:rsid w:val="31BE7E64"/>
    <w:rsid w:val="63A35501"/>
    <w:rsid w:val="652B583A"/>
    <w:rsid w:val="65BC4399"/>
    <w:rsid w:val="6A29522A"/>
    <w:rsid w:val="6E5F4023"/>
    <w:rsid w:val="7C192A5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99" w:semiHidden="0" w:name="toc 1"/>
    <w:lsdException w:unhideWhenUsed="0" w:uiPriority="99" w:semiHidden="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等线" w:hAnsi="等线" w:eastAsia="仿宋_GB2312" w:cs="Times New Roman"/>
      <w:kern w:val="2"/>
      <w:sz w:val="32"/>
      <w:szCs w:val="22"/>
      <w:lang w:val="en-US" w:eastAsia="zh-CN" w:bidi="ar-SA"/>
    </w:rPr>
  </w:style>
  <w:style w:type="paragraph" w:styleId="2">
    <w:name w:val="heading 1"/>
    <w:basedOn w:val="1"/>
    <w:next w:val="1"/>
    <w:link w:val="23"/>
    <w:qFormat/>
    <w:uiPriority w:val="99"/>
    <w:pPr>
      <w:keepNext/>
      <w:keepLines/>
      <w:spacing w:before="1440" w:after="720"/>
      <w:jc w:val="center"/>
      <w:outlineLvl w:val="0"/>
    </w:pPr>
    <w:rPr>
      <w:rFonts w:eastAsia="方正小标宋简体"/>
      <w:bCs/>
      <w:kern w:val="44"/>
      <w:sz w:val="44"/>
      <w:szCs w:val="44"/>
    </w:rPr>
  </w:style>
  <w:style w:type="paragraph" w:styleId="3">
    <w:name w:val="heading 2"/>
    <w:basedOn w:val="1"/>
    <w:next w:val="1"/>
    <w:link w:val="24"/>
    <w:qFormat/>
    <w:uiPriority w:val="99"/>
    <w:pPr>
      <w:keepNext/>
      <w:keepLines/>
      <w:spacing w:before="260" w:after="260" w:line="416" w:lineRule="auto"/>
      <w:outlineLvl w:val="1"/>
    </w:pPr>
    <w:rPr>
      <w:rFonts w:ascii="Cambria" w:hAnsi="Cambria" w:eastAsia="宋体"/>
      <w:b/>
      <w:bCs/>
      <w:szCs w:val="32"/>
    </w:rPr>
  </w:style>
  <w:style w:type="paragraph" w:styleId="4">
    <w:name w:val="heading 3"/>
    <w:basedOn w:val="1"/>
    <w:next w:val="1"/>
    <w:link w:val="25"/>
    <w:qFormat/>
    <w:uiPriority w:val="99"/>
    <w:pPr>
      <w:keepNext/>
      <w:keepLines/>
      <w:spacing w:before="260" w:after="260" w:line="416" w:lineRule="atLeast"/>
      <w:outlineLvl w:val="2"/>
    </w:pPr>
    <w:rPr>
      <w:b/>
      <w:bCs/>
      <w:szCs w:val="32"/>
    </w:rPr>
  </w:style>
  <w:style w:type="character" w:default="1" w:styleId="19">
    <w:name w:val="Default Paragraph Font"/>
    <w:semiHidden/>
    <w:uiPriority w:val="99"/>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iPriority w:val="99"/>
    <w:pPr>
      <w:spacing w:line="240" w:lineRule="auto"/>
      <w:ind w:left="2520" w:leftChars="1200" w:firstLine="0" w:firstLineChars="0"/>
    </w:pPr>
    <w:rPr>
      <w:rFonts w:ascii="Calibri" w:hAnsi="Calibri" w:eastAsia="宋体"/>
      <w:sz w:val="21"/>
    </w:rPr>
  </w:style>
  <w:style w:type="paragraph" w:styleId="6">
    <w:name w:val="toc 5"/>
    <w:basedOn w:val="1"/>
    <w:next w:val="1"/>
    <w:uiPriority w:val="99"/>
    <w:pPr>
      <w:spacing w:line="240" w:lineRule="auto"/>
      <w:ind w:left="1680" w:leftChars="800" w:firstLine="0" w:firstLineChars="0"/>
    </w:pPr>
    <w:rPr>
      <w:rFonts w:ascii="Calibri" w:hAnsi="Calibri" w:eastAsia="宋体"/>
      <w:sz w:val="21"/>
    </w:rPr>
  </w:style>
  <w:style w:type="paragraph" w:styleId="7">
    <w:name w:val="toc 3"/>
    <w:basedOn w:val="1"/>
    <w:next w:val="1"/>
    <w:uiPriority w:val="99"/>
    <w:pPr>
      <w:spacing w:line="480" w:lineRule="exact"/>
      <w:ind w:left="641"/>
      <w:jc w:val="left"/>
    </w:pPr>
    <w:rPr>
      <w:rFonts w:eastAsia="楷体_GB2312"/>
      <w:sz w:val="28"/>
    </w:rPr>
  </w:style>
  <w:style w:type="paragraph" w:styleId="8">
    <w:name w:val="toc 8"/>
    <w:basedOn w:val="1"/>
    <w:next w:val="1"/>
    <w:uiPriority w:val="99"/>
    <w:pPr>
      <w:spacing w:line="240" w:lineRule="auto"/>
      <w:ind w:left="2940" w:leftChars="1400" w:firstLine="0" w:firstLineChars="0"/>
    </w:pPr>
    <w:rPr>
      <w:rFonts w:ascii="Calibri" w:hAnsi="Calibri" w:eastAsia="宋体"/>
      <w:sz w:val="21"/>
    </w:rPr>
  </w:style>
  <w:style w:type="paragraph" w:styleId="9">
    <w:name w:val="Balloon Text"/>
    <w:basedOn w:val="1"/>
    <w:link w:val="26"/>
    <w:uiPriority w:val="99"/>
    <w:rPr>
      <w:rFonts w:eastAsia="等线"/>
      <w:sz w:val="18"/>
      <w:szCs w:val="18"/>
    </w:rPr>
  </w:style>
  <w:style w:type="paragraph" w:styleId="10">
    <w:name w:val="footer"/>
    <w:basedOn w:val="1"/>
    <w:link w:val="27"/>
    <w:uiPriority w:val="99"/>
    <w:pPr>
      <w:tabs>
        <w:tab w:val="center" w:pos="4153"/>
        <w:tab w:val="right" w:pos="8306"/>
      </w:tabs>
      <w:snapToGrid w:val="0"/>
      <w:jc w:val="left"/>
    </w:pPr>
    <w:rPr>
      <w:rFonts w:eastAsia="等线"/>
      <w:kern w:val="0"/>
      <w:sz w:val="18"/>
      <w:szCs w:val="20"/>
      <w:lang w:val="zh-CN"/>
    </w:rPr>
  </w:style>
  <w:style w:type="paragraph" w:styleId="11">
    <w:name w:val="header"/>
    <w:basedOn w:val="1"/>
    <w:link w:val="28"/>
    <w:uiPriority w:val="99"/>
    <w:pPr>
      <w:pBdr>
        <w:bottom w:val="single" w:color="auto" w:sz="6" w:space="1"/>
      </w:pBdr>
      <w:tabs>
        <w:tab w:val="center" w:pos="4153"/>
        <w:tab w:val="right" w:pos="8306"/>
      </w:tabs>
      <w:snapToGrid w:val="0"/>
      <w:jc w:val="center"/>
    </w:pPr>
    <w:rPr>
      <w:rFonts w:eastAsia="等线"/>
      <w:sz w:val="18"/>
      <w:szCs w:val="20"/>
    </w:rPr>
  </w:style>
  <w:style w:type="paragraph" w:styleId="12">
    <w:name w:val="toc 1"/>
    <w:basedOn w:val="2"/>
    <w:next w:val="1"/>
    <w:uiPriority w:val="99"/>
    <w:pPr>
      <w:spacing w:before="120" w:after="0" w:line="480" w:lineRule="exact"/>
      <w:jc w:val="left"/>
      <w:outlineLvl w:val="9"/>
    </w:pPr>
    <w:rPr>
      <w:sz w:val="28"/>
    </w:rPr>
  </w:style>
  <w:style w:type="paragraph" w:styleId="13">
    <w:name w:val="toc 4"/>
    <w:basedOn w:val="1"/>
    <w:next w:val="1"/>
    <w:uiPriority w:val="99"/>
    <w:pPr>
      <w:spacing w:line="240" w:lineRule="auto"/>
      <w:ind w:left="1260" w:leftChars="600" w:firstLine="0" w:firstLineChars="0"/>
    </w:pPr>
    <w:rPr>
      <w:rFonts w:ascii="Calibri" w:hAnsi="Calibri" w:eastAsia="宋体"/>
      <w:sz w:val="21"/>
    </w:rPr>
  </w:style>
  <w:style w:type="paragraph" w:styleId="14">
    <w:name w:val="toc 6"/>
    <w:basedOn w:val="1"/>
    <w:next w:val="1"/>
    <w:uiPriority w:val="99"/>
    <w:pPr>
      <w:spacing w:line="240" w:lineRule="auto"/>
      <w:ind w:left="2100" w:leftChars="1000" w:firstLine="0" w:firstLineChars="0"/>
    </w:pPr>
    <w:rPr>
      <w:rFonts w:ascii="Calibri" w:hAnsi="Calibri" w:eastAsia="宋体"/>
      <w:sz w:val="21"/>
    </w:rPr>
  </w:style>
  <w:style w:type="paragraph" w:styleId="15">
    <w:name w:val="toc 2"/>
    <w:basedOn w:val="1"/>
    <w:next w:val="1"/>
    <w:uiPriority w:val="99"/>
    <w:pPr>
      <w:spacing w:before="120" w:line="480" w:lineRule="exact"/>
      <w:ind w:left="318"/>
      <w:jc w:val="left"/>
    </w:pPr>
    <w:rPr>
      <w:rFonts w:eastAsia="黑体"/>
      <w:sz w:val="28"/>
    </w:rPr>
  </w:style>
  <w:style w:type="paragraph" w:styleId="16">
    <w:name w:val="toc 9"/>
    <w:basedOn w:val="1"/>
    <w:next w:val="1"/>
    <w:uiPriority w:val="99"/>
    <w:pPr>
      <w:spacing w:line="240" w:lineRule="auto"/>
      <w:ind w:left="3360" w:leftChars="1600" w:firstLine="0" w:firstLineChars="0"/>
    </w:pPr>
    <w:rPr>
      <w:rFonts w:ascii="Calibri" w:hAnsi="Calibri" w:eastAsia="宋体"/>
      <w:sz w:val="21"/>
    </w:rPr>
  </w:style>
  <w:style w:type="paragraph" w:styleId="17">
    <w:name w:val="Normal (Web)"/>
    <w:basedOn w:val="1"/>
    <w:uiPriority w:val="99"/>
    <w:pPr>
      <w:widowControl/>
      <w:spacing w:before="100" w:beforeAutospacing="1" w:after="100" w:afterAutospacing="1" w:line="360" w:lineRule="atLeast"/>
      <w:jc w:val="left"/>
    </w:pPr>
    <w:rPr>
      <w:rFonts w:ascii="宋体" w:hAnsi="宋体" w:eastAsia="宋体" w:cs="宋体"/>
      <w:kern w:val="0"/>
      <w:sz w:val="24"/>
      <w:szCs w:val="24"/>
    </w:rPr>
  </w:style>
  <w:style w:type="character" w:styleId="20">
    <w:name w:val="page number"/>
    <w:basedOn w:val="19"/>
    <w:uiPriority w:val="99"/>
    <w:rPr>
      <w:rFonts w:cs="Times New Roman"/>
    </w:rPr>
  </w:style>
  <w:style w:type="character" w:styleId="21">
    <w:name w:val="Emphasis"/>
    <w:basedOn w:val="19"/>
    <w:qFormat/>
    <w:uiPriority w:val="99"/>
    <w:rPr>
      <w:rFonts w:cs="Times New Roman"/>
    </w:rPr>
  </w:style>
  <w:style w:type="character" w:styleId="22">
    <w:name w:val="Hyperlink"/>
    <w:basedOn w:val="19"/>
    <w:uiPriority w:val="99"/>
    <w:rPr>
      <w:rFonts w:cs="Times New Roman"/>
      <w:color w:val="0000FF"/>
      <w:u w:val="single"/>
    </w:rPr>
  </w:style>
  <w:style w:type="character" w:customStyle="1" w:styleId="23">
    <w:name w:val="Heading 1 Char"/>
    <w:basedOn w:val="19"/>
    <w:link w:val="2"/>
    <w:locked/>
    <w:uiPriority w:val="99"/>
    <w:rPr>
      <w:rFonts w:ascii="等线" w:hAnsi="等线" w:eastAsia="方正小标宋简体" w:cs="Times New Roman"/>
      <w:kern w:val="44"/>
      <w:sz w:val="44"/>
    </w:rPr>
  </w:style>
  <w:style w:type="character" w:customStyle="1" w:styleId="24">
    <w:name w:val="Heading 2 Char"/>
    <w:basedOn w:val="19"/>
    <w:link w:val="3"/>
    <w:semiHidden/>
    <w:locked/>
    <w:uiPriority w:val="99"/>
    <w:rPr>
      <w:rFonts w:ascii="Cambria" w:hAnsi="Cambria" w:eastAsia="宋体" w:cs="Times New Roman"/>
      <w:b/>
      <w:kern w:val="2"/>
      <w:sz w:val="32"/>
    </w:rPr>
  </w:style>
  <w:style w:type="character" w:customStyle="1" w:styleId="25">
    <w:name w:val="Heading 3 Char"/>
    <w:basedOn w:val="19"/>
    <w:link w:val="4"/>
    <w:semiHidden/>
    <w:locked/>
    <w:uiPriority w:val="99"/>
    <w:rPr>
      <w:rFonts w:ascii="等线" w:hAnsi="等线" w:eastAsia="仿宋_GB2312" w:cs="Times New Roman"/>
      <w:b/>
      <w:kern w:val="2"/>
      <w:sz w:val="32"/>
    </w:rPr>
  </w:style>
  <w:style w:type="character" w:customStyle="1" w:styleId="26">
    <w:name w:val="Balloon Text Char"/>
    <w:basedOn w:val="19"/>
    <w:link w:val="9"/>
    <w:locked/>
    <w:uiPriority w:val="99"/>
    <w:rPr>
      <w:rFonts w:ascii="等线" w:hAnsi="等线" w:eastAsia="等线" w:cs="Times New Roman"/>
      <w:kern w:val="2"/>
      <w:sz w:val="18"/>
    </w:rPr>
  </w:style>
  <w:style w:type="character" w:customStyle="1" w:styleId="27">
    <w:name w:val="Footer Char"/>
    <w:basedOn w:val="19"/>
    <w:link w:val="10"/>
    <w:locked/>
    <w:uiPriority w:val="99"/>
    <w:rPr>
      <w:rFonts w:ascii="等线" w:hAnsi="等线" w:eastAsia="等线" w:cs="Times New Roman"/>
      <w:sz w:val="18"/>
      <w:lang w:val="zh-CN" w:eastAsia="zh-CN"/>
    </w:rPr>
  </w:style>
  <w:style w:type="character" w:customStyle="1" w:styleId="28">
    <w:name w:val="Header Char"/>
    <w:basedOn w:val="19"/>
    <w:link w:val="11"/>
    <w:locked/>
    <w:uiPriority w:val="99"/>
    <w:rPr>
      <w:rFonts w:ascii="等线" w:hAnsi="等线" w:eastAsia="等线" w:cs="Times New Roman"/>
      <w:kern w:val="2"/>
      <w:sz w:val="18"/>
    </w:rPr>
  </w:style>
  <w:style w:type="paragraph" w:customStyle="1" w:styleId="29">
    <w:name w:val="默认段落字体 Para Char"/>
    <w:basedOn w:val="1"/>
    <w:uiPriority w:val="99"/>
    <w:pPr>
      <w:adjustRightInd w:val="0"/>
      <w:spacing w:line="360" w:lineRule="auto"/>
    </w:pPr>
    <w:rPr>
      <w:rFonts w:ascii="Times New Roman" w:hAnsi="Times New Roman" w:eastAsia="宋体"/>
      <w:kern w:val="0"/>
      <w:szCs w:val="20"/>
    </w:rPr>
  </w:style>
  <w:style w:type="paragraph" w:customStyle="1" w:styleId="30">
    <w:name w:val="Char Char Char"/>
    <w:basedOn w:val="1"/>
    <w:uiPriority w:val="99"/>
    <w:pPr>
      <w:spacing w:line="360" w:lineRule="auto"/>
      <w:ind w:left="420"/>
      <w:textAlignment w:val="baseline"/>
    </w:pPr>
    <w:rPr>
      <w:rFonts w:ascii="Arial" w:hAnsi="Arial" w:eastAsia="宋体" w:cs="Arial"/>
      <w:szCs w:val="24"/>
    </w:rPr>
  </w:style>
  <w:style w:type="paragraph" w:customStyle="1" w:styleId="31">
    <w:name w:val="Char Char Char Char"/>
    <w:basedOn w:val="1"/>
    <w:uiPriority w:val="99"/>
    <w:pPr>
      <w:widowControl/>
      <w:spacing w:after="160" w:line="240" w:lineRule="exact"/>
      <w:jc w:val="left"/>
    </w:pPr>
    <w:rPr>
      <w:rFonts w:ascii="Times New Roman" w:hAnsi="Times New Roman" w:eastAsia="宋体"/>
      <w:szCs w:val="20"/>
    </w:rPr>
  </w:style>
  <w:style w:type="paragraph" w:customStyle="1" w:styleId="32">
    <w:name w:val="Char"/>
    <w:basedOn w:val="1"/>
    <w:uiPriority w:val="99"/>
    <w:rPr>
      <w:rFonts w:ascii="宋体" w:hAnsi="宋体" w:eastAsia="宋体" w:cs="Courier New"/>
      <w:szCs w:val="32"/>
    </w:rPr>
  </w:style>
  <w:style w:type="paragraph" w:customStyle="1" w:styleId="33">
    <w:name w:val="Char Char1 Char Char Char Char Char Char"/>
    <w:basedOn w:val="1"/>
    <w:uiPriority w:val="99"/>
    <w:pPr>
      <w:widowControl/>
      <w:spacing w:after="160" w:line="240" w:lineRule="exact"/>
      <w:jc w:val="left"/>
    </w:pPr>
    <w:rPr>
      <w:rFonts w:ascii="Verdana" w:hAnsi="Verdana"/>
      <w:kern w:val="0"/>
      <w:sz w:val="24"/>
      <w:szCs w:val="20"/>
      <w:lang w:eastAsia="en-US"/>
    </w:rPr>
  </w:style>
  <w:style w:type="paragraph" w:customStyle="1" w:styleId="34">
    <w:name w:val="正文 A"/>
    <w:uiPriority w:val="99"/>
    <w:pPr>
      <w:widowControl w:val="0"/>
      <w:jc w:val="both"/>
    </w:pPr>
    <w:rPr>
      <w:rFonts w:ascii="Arial Unicode MS" w:hAnsi="Arial Unicode MS" w:eastAsia="宋体" w:cs="Arial Unicode MS"/>
      <w:color w:val="000000"/>
      <w:kern w:val="2"/>
      <w:sz w:val="21"/>
      <w:szCs w:val="21"/>
      <w:u w:color="000000"/>
      <w:lang w:val="en-US" w:eastAsia="zh-CN" w:bidi="ar-SA"/>
    </w:rPr>
  </w:style>
  <w:style w:type="paragraph" w:customStyle="1" w:styleId="35">
    <w:name w:val="TOC Heading1"/>
    <w:basedOn w:val="2"/>
    <w:next w:val="1"/>
    <w:uiPriority w:val="99"/>
    <w:pPr>
      <w:widowControl/>
      <w:spacing w:before="240" w:after="0" w:line="259" w:lineRule="auto"/>
      <w:jc w:val="left"/>
      <w:outlineLvl w:val="9"/>
    </w:pPr>
    <w:rPr>
      <w:rFonts w:ascii="等线 Light" w:hAnsi="等线 Light" w:eastAsia="等线 Light"/>
      <w:b/>
      <w:bCs w:val="0"/>
      <w:color w:val="2E74B5"/>
      <w:kern w:val="0"/>
      <w:sz w:val="32"/>
      <w:szCs w:val="32"/>
      <w:lang w:val="zh-CN"/>
    </w:rPr>
  </w:style>
  <w:style w:type="paragraph" w:customStyle="1" w:styleId="36">
    <w:name w:val="List Paragraph1"/>
    <w:basedOn w:val="1"/>
    <w:uiPriority w:val="99"/>
    <w:pPr>
      <w:ind w:firstLine="420"/>
    </w:pPr>
  </w:style>
  <w:style w:type="paragraph" w:customStyle="1" w:styleId="37">
    <w:name w:val="Char Char Char Char Char Char"/>
    <w:basedOn w:val="1"/>
    <w:uiPriority w:val="99"/>
    <w:rPr>
      <w:rFonts w:ascii="宋体" w:hAnsi="宋体" w:eastAsia="楷体_GB2312" w:cs="Courier New"/>
      <w:szCs w:val="32"/>
    </w:rPr>
  </w:style>
  <w:style w:type="paragraph" w:customStyle="1" w:styleId="38">
    <w:name w:val="标题2"/>
    <w:basedOn w:val="1"/>
    <w:link w:val="46"/>
    <w:uiPriority w:val="99"/>
    <w:pPr>
      <w:snapToGrid w:val="0"/>
      <w:spacing w:before="240" w:after="240"/>
      <w:ind w:firstLine="640"/>
      <w:outlineLvl w:val="1"/>
    </w:pPr>
    <w:rPr>
      <w:rFonts w:ascii="黑体" w:hAnsi="黑体" w:eastAsia="黑体"/>
      <w:szCs w:val="20"/>
    </w:rPr>
  </w:style>
  <w:style w:type="paragraph" w:customStyle="1" w:styleId="39">
    <w:name w:val="标题3"/>
    <w:basedOn w:val="1"/>
    <w:next w:val="1"/>
    <w:link w:val="47"/>
    <w:uiPriority w:val="99"/>
    <w:pPr>
      <w:spacing w:beforeLines="50" w:afterLines="50"/>
      <w:ind w:firstLine="643"/>
      <w:outlineLvl w:val="2"/>
    </w:pPr>
    <w:rPr>
      <w:rFonts w:ascii="楷体_GB2312" w:hAnsi="楷体" w:eastAsia="楷体_GB2312"/>
      <w:b/>
      <w:szCs w:val="20"/>
    </w:rPr>
  </w:style>
  <w:style w:type="paragraph" w:customStyle="1" w:styleId="40">
    <w:name w:val="正文2"/>
    <w:basedOn w:val="1"/>
    <w:link w:val="48"/>
    <w:uiPriority w:val="99"/>
    <w:pPr>
      <w:adjustRightInd w:val="0"/>
      <w:snapToGrid w:val="0"/>
      <w:ind w:firstLine="640"/>
    </w:pPr>
    <w:rPr>
      <w:rFonts w:ascii="仿宋_GB2312" w:hAnsi="仿宋"/>
      <w:szCs w:val="20"/>
    </w:rPr>
  </w:style>
  <w:style w:type="paragraph" w:customStyle="1" w:styleId="41">
    <w:name w:val="目录"/>
    <w:basedOn w:val="2"/>
    <w:link w:val="49"/>
    <w:uiPriority w:val="99"/>
    <w:pPr>
      <w:spacing w:before="480" w:after="100" w:afterAutospacing="1" w:line="520" w:lineRule="exact"/>
      <w:ind w:firstLine="720"/>
    </w:pPr>
    <w:rPr>
      <w:rFonts w:ascii="黑体" w:hAnsi="黑体" w:eastAsia="黑体"/>
      <w:bCs w:val="0"/>
      <w:szCs w:val="20"/>
    </w:rPr>
  </w:style>
  <w:style w:type="paragraph" w:customStyle="1" w:styleId="42">
    <w:name w:val="Char Char Char Char Char Char1"/>
    <w:basedOn w:val="1"/>
    <w:uiPriority w:val="99"/>
    <w:pPr>
      <w:spacing w:line="240" w:lineRule="auto"/>
      <w:ind w:firstLine="0" w:firstLineChars="0"/>
    </w:pPr>
    <w:rPr>
      <w:rFonts w:ascii="宋体" w:hAnsi="宋体" w:eastAsia="楷体_GB2312" w:cs="Courier New"/>
      <w:szCs w:val="32"/>
    </w:rPr>
  </w:style>
  <w:style w:type="paragraph" w:customStyle="1" w:styleId="43">
    <w:name w:val="样式 标题 1 + 首行缩进:  2 字符"/>
    <w:basedOn w:val="2"/>
    <w:next w:val="1"/>
    <w:uiPriority w:val="99"/>
    <w:pPr>
      <w:ind w:firstLine="720"/>
    </w:pPr>
    <w:rPr>
      <w:rFonts w:cs="宋体"/>
      <w:bCs w:val="0"/>
      <w:szCs w:val="20"/>
    </w:rPr>
  </w:style>
  <w:style w:type="character" w:customStyle="1" w:styleId="44">
    <w:name w:val="Char Char2"/>
    <w:uiPriority w:val="99"/>
    <w:rPr>
      <w:rFonts w:ascii="等线" w:hAnsi="等线" w:eastAsia="等线"/>
      <w:sz w:val="18"/>
      <w:lang w:val="zh-CN" w:eastAsia="zh-CN"/>
    </w:rPr>
  </w:style>
  <w:style w:type="character" w:customStyle="1" w:styleId="45">
    <w:name w:val="fontstyle01"/>
    <w:uiPriority w:val="99"/>
    <w:rPr>
      <w:rFonts w:ascii="仿宋" w:eastAsia="仿宋"/>
      <w:color w:val="000000"/>
      <w:sz w:val="32"/>
    </w:rPr>
  </w:style>
  <w:style w:type="character" w:customStyle="1" w:styleId="46">
    <w:name w:val="标题2 Char"/>
    <w:link w:val="38"/>
    <w:locked/>
    <w:uiPriority w:val="99"/>
    <w:rPr>
      <w:rFonts w:ascii="黑体" w:hAnsi="黑体" w:eastAsia="黑体"/>
      <w:kern w:val="2"/>
      <w:sz w:val="32"/>
    </w:rPr>
  </w:style>
  <w:style w:type="character" w:customStyle="1" w:styleId="47">
    <w:name w:val="标题3 Char"/>
    <w:link w:val="39"/>
    <w:locked/>
    <w:uiPriority w:val="99"/>
    <w:rPr>
      <w:rFonts w:ascii="楷体_GB2312" w:hAnsi="楷体" w:eastAsia="楷体_GB2312"/>
      <w:b/>
      <w:kern w:val="2"/>
      <w:sz w:val="32"/>
    </w:rPr>
  </w:style>
  <w:style w:type="character" w:customStyle="1" w:styleId="48">
    <w:name w:val="正文2 Char"/>
    <w:link w:val="40"/>
    <w:locked/>
    <w:uiPriority w:val="99"/>
    <w:rPr>
      <w:rFonts w:ascii="仿宋_GB2312" w:hAnsi="仿宋" w:eastAsia="仿宋_GB2312"/>
      <w:kern w:val="2"/>
      <w:sz w:val="32"/>
    </w:rPr>
  </w:style>
  <w:style w:type="character" w:customStyle="1" w:styleId="49">
    <w:name w:val="目录 Char"/>
    <w:link w:val="41"/>
    <w:locked/>
    <w:uiPriority w:val="99"/>
    <w:rPr>
      <w:rFonts w:ascii="黑体" w:hAnsi="黑体" w:eastAsia="黑体"/>
      <w:kern w:val="44"/>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51</Pages>
  <Words>22015</Words>
  <Characters>22509</Characters>
  <Lines>0</Lines>
  <Paragraphs>0</Paragraphs>
  <TotalTime>6</TotalTime>
  <ScaleCrop>false</ScaleCrop>
  <LinksUpToDate>false</LinksUpToDate>
  <CharactersWithSpaces>22608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2016-11-02T09:13:00Z</dcterms:created>
  <dc:creator>user</dc:creator>
  <cp:lastModifiedBy>米露露</cp:lastModifiedBy>
  <cp:lastPrinted>2016-11-02T09:35:00Z</cp:lastPrinted>
  <dcterms:modified xsi:type="dcterms:W3CDTF">2022-12-15T06:35:08Z</dcterms:modified>
  <dc:title>前  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8B737A2835AE42448F6DF2DCBBEB6ED7</vt:lpwstr>
  </property>
</Properties>
</file>