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439" w:after="439" w:line="520" w:lineRule="exact"/>
        <w:rPr>
          <w:rFonts w:hint="eastAsia"/>
        </w:rPr>
      </w:pPr>
      <w:bookmarkStart w:id="0" w:name="_Toc8263"/>
      <w:r>
        <w:rPr>
          <w:rFonts w:hint="eastAsia"/>
        </w:rPr>
        <w:t>三、“十三五”时期农业发展布局</w:t>
      </w:r>
      <w:bookmarkEnd w:id="0"/>
    </w:p>
    <w:p>
      <w:pPr>
        <w:pStyle w:val="3"/>
        <w:spacing w:before="219" w:after="219" w:line="520" w:lineRule="exact"/>
        <w:rPr>
          <w:rFonts w:hint="eastAsia"/>
        </w:rPr>
      </w:pPr>
      <w:bookmarkStart w:id="1" w:name="_Toc418699565"/>
      <w:bookmarkStart w:id="2" w:name="_Toc11276"/>
      <w:bookmarkStart w:id="3" w:name="_Toc432718007"/>
      <w:r>
        <w:rPr>
          <w:rFonts w:hint="eastAsia"/>
        </w:rPr>
        <w:t>（一）</w:t>
      </w:r>
      <w:bookmarkEnd w:id="1"/>
      <w:r>
        <w:rPr>
          <w:rFonts w:hint="eastAsia"/>
        </w:rPr>
        <w:t>空间布局</w:t>
      </w:r>
      <w:bookmarkEnd w:id="2"/>
      <w:bookmarkEnd w:id="3"/>
    </w:p>
    <w:p>
      <w:pPr>
        <w:spacing w:before="0" w:line="500" w:lineRule="exact"/>
        <w:rPr>
          <w:rFonts w:hint="eastAsia"/>
        </w:rPr>
      </w:pPr>
      <w:r>
        <w:rPr>
          <w:rFonts w:hint="eastAsia"/>
        </w:rPr>
        <w:t>“十三五”时期，围绕进一步提升、拓展现代农业多种功能，结合区域特色，重点构建“</w:t>
      </w:r>
      <w:r>
        <w:rPr>
          <w:rFonts w:hint="eastAsia"/>
          <w:b/>
        </w:rPr>
        <w:t>一轴、两带、三区</w:t>
      </w:r>
      <w:r>
        <w:rPr>
          <w:rFonts w:hint="eastAsia"/>
        </w:rPr>
        <w:t>”空间布局。</w:t>
      </w:r>
    </w:p>
    <w:p>
      <w:pPr>
        <w:spacing w:before="0" w:line="500" w:lineRule="exact"/>
        <w:ind w:firstLine="643"/>
        <w:rPr>
          <w:rFonts w:hint="eastAsia"/>
        </w:rPr>
      </w:pPr>
      <w:r>
        <w:rPr>
          <w:rFonts w:hint="eastAsia"/>
          <w:b/>
        </w:rPr>
        <w:t>一轴，</w:t>
      </w:r>
      <w:r>
        <w:rPr>
          <w:rFonts w:hint="eastAsia"/>
        </w:rPr>
        <w:t>沿着北连中心城、南接新航城的南中轴路，建设绿色廊道，推动森林公园建设，</w:t>
      </w:r>
      <w:r>
        <w:rPr>
          <w:rFonts w:hint="eastAsia"/>
          <w:b/>
        </w:rPr>
        <w:t>打造绿色生态涵养轴</w:t>
      </w:r>
      <w:r>
        <w:rPr>
          <w:rFonts w:hint="eastAsia"/>
        </w:rPr>
        <w:t>；充分挖掘团河行宫、南海子皇家文化底蕴，以满足市民</w:t>
      </w:r>
      <w:r>
        <w:t>游憩、观赏</w:t>
      </w:r>
      <w:r>
        <w:rPr>
          <w:rFonts w:hint="eastAsia"/>
        </w:rPr>
        <w:t>的需求，建设引人入胜的园林佳境，</w:t>
      </w:r>
      <w:r>
        <w:rPr>
          <w:rFonts w:hint="eastAsia"/>
          <w:b/>
        </w:rPr>
        <w:t>打造历史文化体验轴</w:t>
      </w:r>
      <w:r>
        <w:rPr>
          <w:rFonts w:hint="eastAsia"/>
        </w:rPr>
        <w:t>；提取月季、设施、民俗、田园景观、乡土风情等元素符号，发展创意农业，</w:t>
      </w:r>
      <w:r>
        <w:rPr>
          <w:rFonts w:hint="eastAsia"/>
          <w:b/>
        </w:rPr>
        <w:t>打造绿色农耕创意轴</w:t>
      </w:r>
      <w:r>
        <w:rPr>
          <w:rFonts w:hint="eastAsia"/>
        </w:rPr>
        <w:t>。</w:t>
      </w:r>
    </w:p>
    <w:p>
      <w:pPr>
        <w:spacing w:before="0" w:line="500" w:lineRule="exact"/>
        <w:ind w:firstLine="643"/>
        <w:rPr>
          <w:rFonts w:hint="eastAsia"/>
        </w:rPr>
      </w:pPr>
      <w:r>
        <w:rPr>
          <w:rFonts w:hint="eastAsia"/>
          <w:b/>
        </w:rPr>
        <w:t>两带，</w:t>
      </w:r>
      <w:r>
        <w:rPr>
          <w:rFonts w:hint="eastAsia"/>
        </w:rPr>
        <w:t>沿着庞安路向西延伸至东赵路、向东延伸至韩凤路，重点强化道路两侧的绿化美化、田园生态、民俗文化、高效农业，提升西甜瓜、梨、桑椹、葡萄等农业产业的科技示范、精品展示、观光采摘、营销储运等功能，</w:t>
      </w:r>
      <w:r>
        <w:rPr>
          <w:rFonts w:hint="eastAsia"/>
          <w:b/>
        </w:rPr>
        <w:t>打造庞采路现代农业产业示范带</w:t>
      </w:r>
      <w:r>
        <w:rPr>
          <w:rFonts w:hint="eastAsia"/>
        </w:rPr>
        <w:t>。沿着永定河大兴段，重点强化道路两侧的景观建设、水源涵养、生态保护，提升农业文化、郊野休闲、园区景观、生态服务等功能，</w:t>
      </w:r>
      <w:r>
        <w:rPr>
          <w:rFonts w:hint="eastAsia"/>
          <w:b/>
        </w:rPr>
        <w:t>打造永定河绿色休闲生态示范带</w:t>
      </w:r>
      <w:r>
        <w:rPr>
          <w:rFonts w:hint="eastAsia"/>
        </w:rPr>
        <w:t>。</w:t>
      </w:r>
    </w:p>
    <w:p>
      <w:pPr>
        <w:spacing w:before="0" w:line="500" w:lineRule="exact"/>
        <w:ind w:firstLine="643"/>
        <w:rPr>
          <w:rFonts w:hint="eastAsia"/>
        </w:rPr>
      </w:pPr>
      <w:r>
        <w:rPr>
          <w:rFonts w:hint="eastAsia"/>
          <w:b/>
        </w:rPr>
        <w:t>三区，</w:t>
      </w:r>
      <w:r>
        <w:rPr>
          <w:rFonts w:hint="eastAsia"/>
        </w:rPr>
        <w:t>以北部黄村、西红门、旧宫、瀛海、亦庄为重点，结合绿化隔离带建设和生态林工程，重点发展以文化休闲</w:t>
      </w:r>
      <w:bookmarkStart w:id="4" w:name="_Toc418699566"/>
      <w:r>
        <w:rPr>
          <w:rFonts w:hint="eastAsia"/>
        </w:rPr>
        <w:t>和园林经济为特征的绿色服务产业，</w:t>
      </w:r>
      <w:r>
        <w:rPr>
          <w:rFonts w:hint="eastAsia"/>
          <w:b/>
        </w:rPr>
        <w:t>打造绿色休闲服务区</w:t>
      </w:r>
      <w:r>
        <w:rPr>
          <w:rFonts w:hint="eastAsia"/>
        </w:rPr>
        <w:t>。以中部北臧村、庞各庄、魏善庄、安定、青云店、长子营、采育镇为重点，依托庞采路都市型现代农业产业带，突出西瓜、蔬菜、梨、葡萄、月季等特色产业，重点发展以科技农业、景观农业、会展农业、休闲农业为基本形态的精品农业，</w:t>
      </w:r>
      <w:r>
        <w:rPr>
          <w:rFonts w:hint="eastAsia"/>
          <w:b/>
        </w:rPr>
        <w:t>打造高端产业展示区</w:t>
      </w:r>
      <w:r>
        <w:rPr>
          <w:rFonts w:hint="eastAsia"/>
        </w:rPr>
        <w:t>。以南部的榆垡镇和礼贤镇为主，按照服务京津冀协同发展示范区建设、服务北京大兴国际机场建设、服务大兴新航城建设的要求，着力涵养水源、美化环境，</w:t>
      </w:r>
      <w:r>
        <w:rPr>
          <w:rFonts w:hint="eastAsia"/>
          <w:b/>
        </w:rPr>
        <w:t>打造生态农业涵养区</w:t>
      </w:r>
      <w:r>
        <w:rPr>
          <w:rFonts w:hint="eastAsia"/>
        </w:rPr>
        <w:t>。</w:t>
      </w:r>
    </w:p>
    <w:p>
      <w:pPr>
        <w:widowControl/>
        <w:ind w:firstLine="480"/>
        <w:jc w:val="left"/>
      </w:pPr>
      <w:r>
        <w:rPr>
          <w:rFonts w:ascii="宋体" w:hAnsi="宋体" w:eastAsia="宋体" w:cs="宋体"/>
          <w:kern w:val="0"/>
          <w:sz w:val="24"/>
          <w:szCs w:val="24"/>
          <w:lang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instrText xml:space="preserve"> INCLUDEPICTURE "../../../Users/zj/Documents/Tencent%20Files/1694988627/Image/C2C/_%7b%7dQ(BS_25DN%5d~JJP$DJKV7.jpg" \* MERGEFORMAT \d </w:instrTex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drawing>
          <wp:inline distT="0" distB="0" distL="114300" distR="114300">
            <wp:extent cx="29984700" cy="28575000"/>
            <wp:effectExtent l="0" t="0" r="0" b="0"/>
            <wp:docPr id="2" name="图片 1" descr="_{}Q(BS_25DN]~JJP$DJKV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_{}Q(BS_25DN]~JJP$DJKV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0" cy="285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fldChar w:fldCharType="end"/>
      </w:r>
    </w:p>
    <w:p>
      <w:pPr>
        <w:pStyle w:val="7"/>
        <w:spacing w:before="219" w:after="219"/>
        <w:rPr>
          <w:rFonts w:hint="eastAsia"/>
          <w:color w:val="FF0000"/>
        </w:rPr>
      </w:pPr>
      <w:r>
        <w:rPr>
          <w:rFonts w:hint="eastAsia"/>
        </w:rPr>
        <w:drawing>
          <wp:inline distT="0" distB="0" distL="114300" distR="114300">
            <wp:extent cx="5006975" cy="4772025"/>
            <wp:effectExtent l="0" t="0" r="9525" b="3175"/>
            <wp:docPr id="1" name="图片 2" descr="_{}Q(BS_25DN]~JJP$DJKV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_{}Q(BS_25DN]~JJP$DJKV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t xml:space="preserve"> </w:t>
      </w:r>
      <w:r>
        <w:rPr>
          <w:rFonts w:hint="eastAsia"/>
        </w:rPr>
        <w:t>图1 “十三五”时期农业发展空间布局</w:t>
      </w:r>
    </w:p>
    <w:p>
      <w:pPr>
        <w:pStyle w:val="3"/>
        <w:spacing w:before="219" w:after="219"/>
        <w:rPr>
          <w:rFonts w:hint="eastAsia"/>
        </w:rPr>
      </w:pPr>
      <w:bookmarkStart w:id="5" w:name="_Toc12988"/>
      <w:r>
        <w:rPr>
          <w:rFonts w:hint="eastAsia"/>
        </w:rPr>
        <w:t>（二）产业布局</w:t>
      </w:r>
      <w:bookmarkEnd w:id="5"/>
    </w:p>
    <w:p>
      <w:pPr>
        <w:spacing w:before="0"/>
        <w:ind w:firstLine="616"/>
        <w:rPr>
          <w:rFonts w:hint="eastAsia" w:cs="仿宋_GB2312"/>
        </w:rPr>
      </w:pPr>
      <w:bookmarkStart w:id="6" w:name="_Toc18431"/>
      <w:bookmarkStart w:id="7" w:name="_Toc213"/>
      <w:bookmarkStart w:id="8" w:name="_Toc26834"/>
      <w:bookmarkStart w:id="9" w:name="_Toc432718008"/>
      <w:bookmarkStart w:id="10" w:name="_Toc22361"/>
      <w:bookmarkStart w:id="11" w:name="_Toc25451"/>
      <w:r>
        <w:rPr>
          <w:rFonts w:hint="eastAsia" w:cs="仿宋_GB2312"/>
          <w:spacing w:val="-6"/>
        </w:rPr>
        <w:t xml:space="preserve"> “十三五”时期，全区以“</w:t>
      </w:r>
      <w:r>
        <w:rPr>
          <w:rFonts w:hint="eastAsia" w:cs="仿宋_GB2312"/>
          <w:b/>
          <w:spacing w:val="-6"/>
        </w:rPr>
        <w:t>两退、两稳、两增、两促</w:t>
      </w:r>
      <w:r>
        <w:rPr>
          <w:rFonts w:hint="eastAsia" w:cs="仿宋_GB2312"/>
          <w:spacing w:val="-6"/>
        </w:rPr>
        <w:t>”为重</w:t>
      </w:r>
      <w:r>
        <w:rPr>
          <w:rFonts w:hint="eastAsia" w:cs="仿宋_GB2312"/>
        </w:rPr>
        <w:t>点，促进农业结构调整目标的实现。</w:t>
      </w:r>
    </w:p>
    <w:p>
      <w:pPr>
        <w:spacing w:before="0"/>
        <w:ind w:firstLine="643"/>
        <w:rPr>
          <w:rFonts w:hint="eastAsia"/>
        </w:rPr>
      </w:pPr>
      <w:r>
        <w:rPr>
          <w:rFonts w:hint="eastAsia" w:cs="仿宋_GB2312"/>
          <w:b/>
        </w:rPr>
        <w:t>两退</w:t>
      </w:r>
      <w:r>
        <w:rPr>
          <w:rFonts w:hint="eastAsia" w:cs="仿宋_GB2312"/>
        </w:rPr>
        <w:t>，</w:t>
      </w:r>
      <w:r>
        <w:rPr>
          <w:rFonts w:hint="eastAsia"/>
          <w:b/>
        </w:rPr>
        <w:t>逐步退出高耗水粮食作物</w:t>
      </w:r>
      <w:r>
        <w:rPr>
          <w:rFonts w:hint="eastAsia"/>
        </w:rPr>
        <w:t>，</w:t>
      </w:r>
      <w:r>
        <w:rPr>
          <w:rFonts w:cs="仿宋_GB2312"/>
        </w:rPr>
        <w:t>加快农业科技创新和技术推广应用，发展现代种业，大力推进农业机械化，促进良种良法配套、农机农艺融合，</w:t>
      </w:r>
      <w:r>
        <w:rPr>
          <w:rFonts w:hint="eastAsia"/>
        </w:rPr>
        <w:t>高标准粮田面积稳定在8万亩；</w:t>
      </w:r>
      <w:r>
        <w:rPr>
          <w:rFonts w:hint="eastAsia"/>
          <w:b/>
        </w:rPr>
        <w:t>继续疏解、退出小规模、低水平养殖业</w:t>
      </w:r>
      <w:r>
        <w:rPr>
          <w:rFonts w:hint="eastAsia"/>
        </w:rPr>
        <w:t>，控制新增规模，提高养殖水平，生猪年出栏量调减1/3，肉禽年出栏量调减1/4。</w:t>
      </w:r>
    </w:p>
    <w:p>
      <w:pPr>
        <w:spacing w:before="0"/>
        <w:ind w:firstLine="643"/>
        <w:rPr>
          <w:rFonts w:hint="eastAsia"/>
        </w:rPr>
      </w:pPr>
      <w:r>
        <w:rPr>
          <w:rFonts w:hint="eastAsia"/>
          <w:b/>
        </w:rPr>
        <w:t>两稳</w:t>
      </w:r>
      <w:r>
        <w:rPr>
          <w:rFonts w:hint="eastAsia"/>
        </w:rPr>
        <w:t>，</w:t>
      </w:r>
      <w:r>
        <w:rPr>
          <w:rFonts w:hint="eastAsia"/>
          <w:b/>
        </w:rPr>
        <w:t>稳定“菜篮子”工程，</w:t>
      </w:r>
      <w:r>
        <w:rPr>
          <w:rFonts w:hint="eastAsia"/>
        </w:rPr>
        <w:t>以名特优新为重点，突出蔬菜生产精品化、特色化、规模化，提高蔬菜安全、标准化生产规模，提高蔬菜进入中高端消费市场的比例，菜田生产面积稳定在15万亩；</w:t>
      </w:r>
      <w:r>
        <w:rPr>
          <w:rFonts w:hint="eastAsia"/>
          <w:b/>
        </w:rPr>
        <w:t>稳定西瓜产业</w:t>
      </w:r>
      <w:r>
        <w:rPr>
          <w:rFonts w:hint="eastAsia"/>
        </w:rPr>
        <w:t>，继续发挥“大兴西瓜”品种、品质、品牌优势，促进西瓜生产的品种多样化、种苗产业化、栽培周年化、生产规模化，建成集生产、旅游、休闲、采摘、体验为一体，优质、安全、高效的都市型精品农业产业，西甜瓜种植面积稳定在5万亩。</w:t>
      </w:r>
    </w:p>
    <w:p>
      <w:pPr>
        <w:spacing w:before="0"/>
        <w:ind w:firstLine="643"/>
        <w:rPr>
          <w:rFonts w:hint="eastAsia"/>
        </w:rPr>
      </w:pPr>
      <w:r>
        <w:rPr>
          <w:rFonts w:hint="eastAsia"/>
          <w:b/>
        </w:rPr>
        <w:t>两增，增加高效果品生产规模</w:t>
      </w:r>
      <w:r>
        <w:rPr>
          <w:rFonts w:hint="eastAsia"/>
        </w:rPr>
        <w:t>，合理调整树种和果品结构，改造提升老果园基础设施建设水平，提高果品文化附加值，做大品牌，促进果品生产功能、生态功能与休闲功能的融合，积极开展高效密植果园建设和低效果园改造，发展现代化果园。</w:t>
      </w:r>
      <w:r>
        <w:rPr>
          <w:rFonts w:hint="eastAsia"/>
          <w:b/>
        </w:rPr>
        <w:t>增加生态、景观林，</w:t>
      </w:r>
      <w:r>
        <w:rPr>
          <w:rFonts w:hint="eastAsia"/>
        </w:rPr>
        <w:t>通过</w:t>
      </w:r>
      <w:r>
        <w:rPr>
          <w:rFonts w:hint="eastAsia" w:cs="仿宋_GB2312"/>
        </w:rPr>
        <w:t>逐林造林，打造万亩级别的生态林；通过填空造林，打造闭合不断带的生态长廊；通过</w:t>
      </w:r>
      <w:r>
        <w:rPr>
          <w:rFonts w:hint="eastAsia"/>
        </w:rPr>
        <w:t>腾退还绿，打造城乡休闲公园；通过</w:t>
      </w:r>
      <w:r>
        <w:rPr>
          <w:rFonts w:hint="eastAsia" w:cs="仿宋_GB2312"/>
        </w:rPr>
        <w:t>“五边”绿化，打造新农村美丽环境；通过</w:t>
      </w:r>
      <w:r>
        <w:rPr>
          <w:rFonts w:hint="eastAsia"/>
        </w:rPr>
        <w:t>大绿大美，打造</w:t>
      </w:r>
      <w:r>
        <w:t>色彩斑斓</w:t>
      </w:r>
      <w:r>
        <w:rPr>
          <w:rFonts w:hint="eastAsia"/>
        </w:rPr>
        <w:t>韵律景观，林木绿化率达到30%。</w:t>
      </w:r>
    </w:p>
    <w:p>
      <w:pPr>
        <w:spacing w:before="0"/>
        <w:ind w:firstLine="643"/>
        <w:rPr>
          <w:rFonts w:hint="eastAsia"/>
        </w:rPr>
      </w:pPr>
      <w:r>
        <w:rPr>
          <w:rFonts w:hint="eastAsia"/>
          <w:b/>
        </w:rPr>
        <w:t>两促</w:t>
      </w:r>
      <w:r>
        <w:rPr>
          <w:rFonts w:hint="eastAsia"/>
        </w:rPr>
        <w:t>，</w:t>
      </w:r>
      <w:r>
        <w:rPr>
          <w:rFonts w:hint="eastAsia"/>
          <w:b/>
        </w:rPr>
        <w:t>促进特色花卉产业发展</w:t>
      </w:r>
      <w:r>
        <w:rPr>
          <w:rFonts w:hint="eastAsia"/>
        </w:rPr>
        <w:t>，发挥会展农业的带动作用，优化花卉种植结构和产业布局，引导发展现代花卉创意文化产业，打造种苗繁育、科技研发、高效生产、观光休闲花卉产业链，提高花卉产业效益。</w:t>
      </w:r>
      <w:r>
        <w:rPr>
          <w:rFonts w:hint="eastAsia"/>
          <w:b/>
        </w:rPr>
        <w:t>促进观光休闲农业发展</w:t>
      </w:r>
      <w:r>
        <w:rPr>
          <w:rFonts w:hint="eastAsia"/>
        </w:rPr>
        <w:t>，依托农耕文化，持续提升农业园区服务及承载能力；依托乡村文化，大力发展农村民俗旅游；依托历史文化，建设面向市民的绿色休闲场所，打造健康绿色人文环境，全面提升观光休闲农业水平。</w:t>
      </w:r>
    </w:p>
    <w:p>
      <w:pPr>
        <w:spacing w:before="0"/>
        <w:rPr>
          <w:rFonts w:hint="eastAsia" w:cs="仿宋_GB2312"/>
        </w:rPr>
      </w:pPr>
      <w:r>
        <w:rPr>
          <w:rFonts w:hint="eastAsia" w:cs="仿宋_GB2312"/>
        </w:rPr>
        <w:t>按照上述发展方向，全区将逐步形成“</w:t>
      </w:r>
      <w:r>
        <w:rPr>
          <w:rFonts w:hint="eastAsia" w:cs="仿宋_GB2312"/>
          <w:b/>
          <w:bCs/>
        </w:rPr>
        <w:t>东粮、中菜、南果、北绿”</w:t>
      </w:r>
      <w:r>
        <w:rPr>
          <w:rFonts w:hint="eastAsia" w:cs="仿宋_GB2312"/>
        </w:rPr>
        <w:t>的产业规模布局。</w:t>
      </w:r>
    </w:p>
    <w:p>
      <w:pPr>
        <w:spacing w:before="0"/>
        <w:ind w:firstLine="0" w:firstLineChars="0"/>
        <w:rPr>
          <w:rFonts w:hint="eastAsia" w:cs="仿宋_GB2312"/>
        </w:rPr>
      </w:pPr>
      <w:r>
        <w:rPr>
          <w:rFonts w:hint="eastAsia" w:cs="仿宋_GB2312"/>
        </w:rPr>
        <w:t xml:space="preserve">    </w:t>
      </w:r>
      <w:r>
        <w:rPr>
          <w:rFonts w:hint="eastAsia" w:cs="仿宋_GB2312"/>
          <w:b/>
        </w:rPr>
        <w:t>东部</w:t>
      </w:r>
      <w:r>
        <w:rPr>
          <w:rFonts w:hint="eastAsia" w:cs="仿宋_GB2312"/>
        </w:rPr>
        <w:t>地区包括采育镇、长子营镇、青云店镇以及安定镇的部分地区，发挥水资源相对丰富的优势，集中安排布置粮田。</w:t>
      </w:r>
    </w:p>
    <w:p>
      <w:pPr>
        <w:spacing w:before="0"/>
        <w:ind w:firstLine="643"/>
        <w:rPr>
          <w:rFonts w:hint="eastAsia" w:cs="仿宋_GB2312"/>
        </w:rPr>
      </w:pPr>
      <w:r>
        <w:rPr>
          <w:rFonts w:hint="eastAsia" w:cs="仿宋_GB2312"/>
          <w:b/>
        </w:rPr>
        <w:t>中部</w:t>
      </w:r>
      <w:r>
        <w:rPr>
          <w:rFonts w:hint="eastAsia" w:cs="仿宋_GB2312"/>
        </w:rPr>
        <w:t>地区包括庞各庄镇、魏善庄镇以及安定镇和北臧村镇的部分地区，发挥产业基础好、交通便利等优势，稳定蔬菜和西瓜生产。</w:t>
      </w:r>
    </w:p>
    <w:p>
      <w:pPr>
        <w:spacing w:before="0"/>
        <w:ind w:firstLine="643"/>
        <w:rPr>
          <w:rFonts w:hint="eastAsia" w:cs="仿宋_GB2312"/>
        </w:rPr>
      </w:pPr>
      <w:r>
        <w:rPr>
          <w:rFonts w:hint="eastAsia" w:cs="仿宋_GB2312"/>
          <w:b/>
        </w:rPr>
        <w:t>南部</w:t>
      </w:r>
      <w:r>
        <w:rPr>
          <w:rFonts w:hint="eastAsia" w:cs="仿宋_GB2312"/>
        </w:rPr>
        <w:t>地区主要包括榆垡镇和礼贤镇，通过合理分布果树、林地，在沿永定河观光带、新机场周边形成生态涵养区。</w:t>
      </w:r>
    </w:p>
    <w:p>
      <w:pPr>
        <w:spacing w:before="0"/>
        <w:ind w:firstLine="643"/>
        <w:rPr>
          <w:rFonts w:hint="eastAsia" w:cs="仿宋_GB2312"/>
        </w:rPr>
      </w:pPr>
      <w:r>
        <w:rPr>
          <w:rFonts w:hint="eastAsia" w:cs="仿宋_GB2312"/>
          <w:b/>
        </w:rPr>
        <w:t>北部</w:t>
      </w:r>
      <w:r>
        <w:rPr>
          <w:rFonts w:hint="eastAsia" w:cs="仿宋_GB2312"/>
        </w:rPr>
        <w:t>地区包括旧宫镇、西红门镇和瀛海镇，结合一、二道绿隔建设，合理布局园林绿地，进一步美化区域生态环境。</w:t>
      </w:r>
    </w:p>
    <w:p>
      <w:pPr>
        <w:spacing w:before="0"/>
        <w:rPr>
          <w:rFonts w:hint="eastAsia" w:cs="仿宋_GB2312"/>
        </w:rPr>
      </w:pPr>
    </w:p>
    <w:p>
      <w:pPr>
        <w:spacing w:before="0"/>
        <w:rPr>
          <w:rFonts w:hint="eastAsia" w:cs="仿宋_GB2312"/>
        </w:rPr>
      </w:pPr>
    </w:p>
    <w:p>
      <w:pPr>
        <w:spacing w:before="0"/>
        <w:rPr>
          <w:rFonts w:hint="eastAsia" w:cs="仿宋_GB2312"/>
        </w:rPr>
      </w:pPr>
    </w:p>
    <w:p>
      <w:pPr>
        <w:spacing w:before="0"/>
        <w:rPr>
          <w:rFonts w:hint="eastAsia" w:cs="仿宋_GB2312"/>
        </w:rPr>
      </w:pPr>
    </w:p>
    <w:p>
      <w:pPr>
        <w:spacing w:before="0"/>
        <w:rPr>
          <w:rFonts w:hint="eastAsia" w:cs="仿宋_GB2312"/>
        </w:rPr>
      </w:pPr>
    </w:p>
    <w:p>
      <w:pPr>
        <w:spacing w:before="0"/>
        <w:rPr>
          <w:rFonts w:hint="eastAsia" w:cs="仿宋_GB2312"/>
        </w:rPr>
      </w:pPr>
    </w:p>
    <w:p>
      <w:pPr>
        <w:spacing w:before="0"/>
        <w:ind w:firstLine="616"/>
        <w:rPr>
          <w:rFonts w:hint="eastAsia" w:cs="仿宋_GB2312"/>
          <w:spacing w:val="-6"/>
        </w:rPr>
      </w:pPr>
    </w:p>
    <w:p>
      <w:pPr>
        <w:spacing w:before="0"/>
        <w:ind w:firstLine="616"/>
        <w:rPr>
          <w:rFonts w:hint="eastAsia" w:cs="仿宋_GB2312"/>
          <w:spacing w:val="-6"/>
        </w:rPr>
      </w:pPr>
      <w:bookmarkStart w:id="12" w:name="_GoBack"/>
      <w:bookmarkEnd w:id="12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-257175</wp:posOffset>
            </wp:positionV>
            <wp:extent cx="4490720" cy="4230370"/>
            <wp:effectExtent l="0" t="0" r="5080" b="11430"/>
            <wp:wrapNone/>
            <wp:docPr id="3" name="图片 3" descr="产业布局图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产业布局图1225"/>
                    <pic:cNvPicPr>
                      <a:picLocks noChangeAspect="1"/>
                    </pic:cNvPicPr>
                  </pic:nvPicPr>
                  <pic:blipFill>
                    <a:blip r:embed="rId7"/>
                    <a:srcRect t="5087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/>
        <w:ind w:firstLine="616"/>
        <w:rPr>
          <w:rFonts w:hint="eastAsia" w:cs="仿宋_GB2312"/>
          <w:spacing w:val="-6"/>
        </w:rPr>
      </w:pPr>
    </w:p>
    <w:p>
      <w:pPr>
        <w:spacing w:before="0"/>
        <w:ind w:firstLine="616"/>
        <w:rPr>
          <w:rFonts w:hint="eastAsia" w:cs="仿宋_GB2312"/>
          <w:spacing w:val="-6"/>
        </w:rPr>
      </w:pPr>
    </w:p>
    <w:p>
      <w:pPr>
        <w:spacing w:before="0"/>
        <w:ind w:firstLine="616"/>
        <w:rPr>
          <w:rFonts w:hint="eastAsia" w:cs="仿宋_GB2312"/>
          <w:spacing w:val="-6"/>
        </w:rPr>
      </w:pPr>
    </w:p>
    <w:bookmarkEnd w:id="4"/>
    <w:bookmarkEnd w:id="6"/>
    <w:bookmarkEnd w:id="7"/>
    <w:bookmarkEnd w:id="8"/>
    <w:bookmarkEnd w:id="9"/>
    <w:bookmarkEnd w:id="10"/>
    <w:bookmarkEnd w:id="11"/>
    <w:p>
      <w:pPr>
        <w:spacing w:before="0"/>
        <w:ind w:firstLine="616"/>
        <w:rPr>
          <w:rFonts w:hint="eastAsia" w:cs="仿宋_GB2312"/>
          <w:spacing w:val="-6"/>
        </w:rPr>
      </w:pPr>
    </w:p>
    <w:p>
      <w:pPr>
        <w:spacing w:before="0"/>
        <w:ind w:firstLine="616"/>
        <w:rPr>
          <w:rFonts w:hint="eastAsia" w:cs="仿宋_GB2312"/>
          <w:spacing w:val="-6"/>
        </w:rPr>
      </w:pPr>
    </w:p>
    <w:p>
      <w:pPr>
        <w:pStyle w:val="7"/>
        <w:spacing w:before="219" w:after="219"/>
        <w:jc w:val="both"/>
        <w:rPr>
          <w:rFonts w:hint="eastAsia"/>
        </w:rPr>
      </w:pPr>
    </w:p>
    <w:p>
      <w:pPr>
        <w:pStyle w:val="7"/>
        <w:spacing w:before="219" w:after="219"/>
        <w:rPr>
          <w:rFonts w:hint="eastAsia"/>
        </w:rPr>
      </w:pPr>
    </w:p>
    <w:p>
      <w:pPr>
        <w:pStyle w:val="7"/>
        <w:spacing w:before="219" w:after="219"/>
        <w:rPr>
          <w:rFonts w:hint="eastAsia"/>
        </w:rPr>
      </w:pPr>
    </w:p>
    <w:p>
      <w:pPr>
        <w:pStyle w:val="7"/>
        <w:spacing w:before="219" w:after="219"/>
        <w:rPr>
          <w:rFonts w:hint="eastAsia"/>
        </w:rPr>
      </w:pPr>
    </w:p>
    <w:p>
      <w:pPr>
        <w:pStyle w:val="7"/>
        <w:spacing w:before="219" w:after="219"/>
        <w:rPr>
          <w:rFonts w:hint="eastAsia"/>
        </w:rPr>
      </w:pPr>
    </w:p>
    <w:p>
      <w:pPr>
        <w:pStyle w:val="7"/>
        <w:spacing w:before="219" w:after="219"/>
        <w:rPr>
          <w:rFonts w:hint="eastAsia"/>
        </w:rPr>
      </w:pPr>
    </w:p>
    <w:p>
      <w:pPr>
        <w:pStyle w:val="7"/>
        <w:spacing w:before="219" w:after="219"/>
        <w:rPr>
          <w:rFonts w:hint="eastAsia"/>
        </w:rPr>
      </w:pPr>
      <w:r>
        <w:rPr>
          <w:rFonts w:hint="eastAsia"/>
        </w:rPr>
        <w:t>图2 “十三五”时期农业发展产业规模布局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640"/>
      </w:pPr>
      <w:r>
        <w:separator/>
      </w:r>
    </w:p>
  </w:footnote>
  <w:footnote w:type="continuationSeparator" w:id="1">
    <w:p>
      <w:pPr>
        <w:spacing w:before="0" w:after="0"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946CED"/>
    <w:multiLevelType w:val="multilevel"/>
    <w:tmpl w:val="76946CED"/>
    <w:lvl w:ilvl="0" w:tentative="0">
      <w:start w:val="1"/>
      <w:numFmt w:val="decimal"/>
      <w:suff w:val="nothing"/>
      <w:lvlText w:val="第%1章    "/>
      <w:lvlJc w:val="left"/>
      <w:pPr>
        <w:ind w:left="4803" w:hanging="3403"/>
      </w:pPr>
      <w:rPr>
        <w:rFonts w:hint="eastAsia"/>
        <w:lang w:val="en-US"/>
      </w:rPr>
    </w:lvl>
    <w:lvl w:ilvl="1" w:tentative="0">
      <w:start w:val="1"/>
      <w:numFmt w:val="decimal"/>
      <w:suff w:val="nothing"/>
      <w:lvlText w:val="%1.%2 "/>
      <w:lvlJc w:val="left"/>
      <w:pPr>
        <w:ind w:left="9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1.%2.%3  "/>
      <w:lvlJc w:val="left"/>
      <w:pPr>
        <w:ind w:left="-257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val="en-US"/>
      </w:rPr>
    </w:lvl>
    <w:lvl w:ilvl="3" w:tentative="0">
      <w:start w:val="1"/>
      <w:numFmt w:val="decimal"/>
      <w:suff w:val="nothing"/>
      <w:lvlText w:val="%1.%2.%3.%4  "/>
      <w:lvlJc w:val="left"/>
      <w:pPr>
        <w:ind w:left="-2570" w:firstLine="0"/>
      </w:pPr>
      <w:rPr>
        <w:rFonts w:hint="eastAsia"/>
      </w:rPr>
    </w:lvl>
    <w:lvl w:ilvl="4" w:tentative="0">
      <w:start w:val="1"/>
      <w:numFmt w:val="decimal"/>
      <w:lvlRestart w:val="1"/>
      <w:pStyle w:val="8"/>
      <w:suff w:val="nothing"/>
      <w:lvlText w:val="表%1-%5    "/>
      <w:lvlJc w:val="left"/>
      <w:pPr>
        <w:ind w:left="-1010" w:firstLine="0"/>
      </w:pPr>
      <w:rPr>
        <w:rFonts w:hint="eastAsia"/>
        <w:lang w:val="en-US"/>
      </w:rPr>
    </w:lvl>
    <w:lvl w:ilvl="5" w:tentative="0">
      <w:start w:val="1"/>
      <w:numFmt w:val="decimal"/>
      <w:lvlRestart w:val="1"/>
      <w:suff w:val="nothing"/>
      <w:lvlText w:val="图%1-%6    "/>
      <w:lvlJc w:val="left"/>
      <w:pPr>
        <w:ind w:left="-159" w:firstLine="0"/>
      </w:pPr>
      <w:rPr>
        <w:rFonts w:hint="eastAsia"/>
      </w:rPr>
    </w:lvl>
    <w:lvl w:ilvl="6" w:tentative="0">
      <w:start w:val="1"/>
      <w:numFmt w:val="decimal"/>
      <w:lvlRestart w:val="4"/>
      <w:suff w:val="nothing"/>
      <w:lvlText w:val="（%7）"/>
      <w:lvlJc w:val="left"/>
      <w:pPr>
        <w:ind w:left="-257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val="en-US"/>
      </w:rPr>
    </w:lvl>
    <w:lvl w:ilvl="7" w:tentative="0">
      <w:start w:val="1"/>
      <w:numFmt w:val="decimal"/>
      <w:suff w:val="nothing"/>
      <w:lvlText w:val="%8）"/>
      <w:lvlJc w:val="left"/>
      <w:pPr>
        <w:ind w:left="-2570" w:firstLine="0"/>
      </w:pPr>
      <w:rPr>
        <w:rFonts w:hint="eastAsia"/>
      </w:rPr>
    </w:lvl>
    <w:lvl w:ilvl="8" w:tentative="0">
      <w:start w:val="1"/>
      <w:numFmt w:val="decimal"/>
      <w:suff w:val="nothing"/>
      <w:lvlText w:val="[%9] "/>
      <w:lvlJc w:val="left"/>
      <w:pPr>
        <w:ind w:left="-257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EE2073"/>
    <w:rsid w:val="09227AB0"/>
    <w:rsid w:val="65EE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before="120" w:line="560" w:lineRule="exact"/>
      <w:ind w:firstLine="640" w:firstLineChars="20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3"/>
    <w:qFormat/>
    <w:uiPriority w:val="9"/>
    <w:pPr>
      <w:spacing w:before="381" w:beforeLines="100" w:after="381" w:afterLines="100"/>
      <w:ind w:firstLine="0" w:firstLineChars="0"/>
      <w:jc w:val="center"/>
      <w:outlineLvl w:val="0"/>
    </w:pPr>
    <w:rPr>
      <w:rFonts w:ascii="黑体" w:eastAsia="黑体"/>
      <w:b/>
    </w:rPr>
  </w:style>
  <w:style w:type="paragraph" w:styleId="3">
    <w:name w:val="heading 2"/>
    <w:basedOn w:val="1"/>
    <w:next w:val="4"/>
    <w:qFormat/>
    <w:uiPriority w:val="0"/>
    <w:pPr>
      <w:spacing w:before="190" w:beforeLines="50" w:after="190" w:afterLines="50"/>
      <w:ind w:firstLine="643"/>
      <w:outlineLvl w:val="1"/>
    </w:pPr>
    <w:rPr>
      <w:rFonts w:ascii="楷体_GB2312" w:eastAsia="楷体_GB2312"/>
      <w:b/>
    </w:rPr>
  </w:style>
  <w:style w:type="paragraph" w:styleId="4">
    <w:name w:val="heading 3"/>
    <w:basedOn w:val="1"/>
    <w:next w:val="1"/>
    <w:qFormat/>
    <w:uiPriority w:val="9"/>
    <w:pPr>
      <w:numPr>
        <w:ilvl w:val="2"/>
        <w:numId w:val="1"/>
      </w:numPr>
      <w:spacing w:before="156" w:beforeLines="50" w:after="0" w:line="360" w:lineRule="auto"/>
      <w:outlineLvl w:val="2"/>
    </w:pPr>
    <w:rPr>
      <w:rFonts w:ascii="Times New Roman" w:eastAsia="宋体"/>
      <w:b/>
      <w:bCs/>
      <w:kern w:val="44"/>
      <w:sz w:val="30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图题"/>
    <w:basedOn w:val="8"/>
    <w:qFormat/>
    <w:uiPriority w:val="0"/>
    <w:pPr>
      <w:keepNext w:val="0"/>
      <w:numPr>
        <w:ilvl w:val="4"/>
        <w:numId w:val="0"/>
      </w:numPr>
    </w:pPr>
    <w:rPr>
      <w:sz w:val="28"/>
    </w:rPr>
  </w:style>
  <w:style w:type="paragraph" w:customStyle="1" w:styleId="8">
    <w:name w:val="表题"/>
    <w:basedOn w:val="1"/>
    <w:qFormat/>
    <w:uiPriority w:val="0"/>
    <w:pPr>
      <w:keepNext/>
      <w:numPr>
        <w:ilvl w:val="4"/>
        <w:numId w:val="1"/>
      </w:numPr>
      <w:spacing w:before="190" w:beforeLines="50" w:after="190" w:afterLines="50" w:line="240" w:lineRule="auto"/>
      <w:ind w:left="0" w:firstLineChars="0"/>
      <w:jc w:val="center"/>
      <w:outlineLvl w:val="4"/>
    </w:pPr>
    <w:rPr>
      <w:rFonts w:hAnsi="宋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2021-12-20T03:02:00Z</dcterms:created>
  <dc:creator>อยู่ชายเล็ก</dc:creator>
  <cp:lastModifiedBy>อยู่ชายเล็ก</cp:lastModifiedBy>
  <dcterms:modified xsi:type="dcterms:W3CDTF">2021-12-20T03:03:20Z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F8439A039BAE48E9846F16F50C635132</vt:lpwstr>
  </property>
</Properties>
</file>