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0" w:afterLines="0"/>
        <w:jc w:val="both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附</w:t>
      </w:r>
      <w:r>
        <w:rPr>
          <w:rFonts w:hint="eastAsia"/>
          <w:b w:val="0"/>
          <w:bCs/>
          <w:lang w:eastAsia="zh-CN"/>
        </w:rPr>
        <w:t>件</w:t>
      </w:r>
    </w:p>
    <w:p>
      <w:pPr>
        <w:pStyle w:val="2"/>
        <w:spacing w:before="439" w:after="0" w:afterLines="0"/>
        <w:jc w:val="both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bookmarkStart w:id="0" w:name="_GoBack"/>
      <w:r>
        <w:rPr>
          <w:rFonts w:hint="eastAsia"/>
        </w:rPr>
        <w:t>“十三五”时期农业重大改革和重点建设项目表</w:t>
      </w:r>
      <w:bookmarkEnd w:id="0"/>
    </w:p>
    <w:tbl>
      <w:tblPr>
        <w:tblStyle w:val="5"/>
        <w:tblpPr w:leftFromText="180" w:rightFromText="180" w:vertAnchor="text" w:horzAnchor="page" w:tblpX="1264" w:tblpY="1018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9"/>
        <w:gridCol w:w="656"/>
        <w:gridCol w:w="2316"/>
        <w:gridCol w:w="56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>
        <w:trPr>
          <w:trHeight w:val="1080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农村改革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农村土地承包经营权抵押贷款试点建设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明确贷款对象、用途、产品设计、抵押价值评估、抵押物处置等规定，探索建立抵押贷款风险缓释及补偿机制等。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赋予农民股份权能改革试点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完善农民对集体资产股份继承、抵押、担保权等制度，探索集体资产股权转让的适度市场化。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农村土地确权登记颁证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依法完善农村土地承包合同和承包经营权证，健全登记制度，建立农村土地承包经营权登记颁证信息管理系统。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农村金融改革试验区建设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扩大贷款贴息、担保补贴范围，完善农村金融信用评价体系建设，发展新型农村合作金融组织。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农村集体经营性建设用地入市试点建设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研究有效利用农村集体经营性建设用地促进农用地流转、提升都市型现代农业效益的机制，落实入市主体及运行机制，健全完善民主决策程序，加强入市土地收益资金监管。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“三农”保险创新示范区建设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探索“三农”政策性保险、合作性保险和商业性保险有效结合的机制，基本实现农村地区各类涉农保险的全覆盖。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产业结构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调  整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建设现代农业产业园区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魏善庄镇实施吴庄村、刘家场村农业园区建设项目；庞各庄镇建设工厂化栽培农业高科技示范园；青云店镇实施700亩精品果园项目。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产业结构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调 整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菜篮子生产基地建设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礼贤镇实施蔬菜产业万亩镇建设；榆垡镇建设千亩设施园提温改造工程；青云店实施镇1600亩优质果树示范基础建设。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农业产业带建设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榆垡镇实施20000永定河沿线农业产业升级项目；安定镇实施庞安路产业带升级项目，魏善庄镇实施庞安路延线农业园区建设项目。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文化创意产业建设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魏善庄镇实施精品梨园文化创意提升项目及“梅韵和琴”文化创意产业项目，重点建设文化景观。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景观农业建设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礼贤镇实施4000亩观光采摘花卉苗圃基地建设，实施贺南村850亩油菜花、小马坊590亩油葵景观农业建设；青云店镇实施康顺路农业景观示范大道建设，实施青科益农林下经济及景观建设推广项目。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种业基地建设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建设2600万株生产能力蔬菜种苗繁育基地，建设展示温室、育苗温室及附属设施；建设种猪繁育基地，引进种猪，更新改造设备，建设自动饲喂系统；青云店镇建设富硒产品研发种植育种基地。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农业科技提升工程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实施院区合作项目，引进示范新技术、新品种，加强关键环节、关键技术的研究。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农产品深加工建设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采育镇实施北京宜生源农产品深加工扩建项目，实施农产品深加工复合型循环园建设项目；榆垡镇实施千亩设施园冷链物流建设项目。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农产品流通建设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实施“一会一社一中心”建设，开发农超、农社、农企、农宅等直销渠道，宣传“大兴农业”、“大兴农品”品牌。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农产品质量安全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开展“国家农产品质量安全县”争创工作；建设“三品一标”基地。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  <w:t>产业结构</w:t>
            </w:r>
          </w:p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  <w:t xml:space="preserve">  调 整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农机具配套建设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购置大棚用农机具、卷帘机、蔬菜播种、育苗喷淋设备；购置果园水肥一体化系统、新型果园开沟机、打药机和配套运输机设备；购置玉米收割机、配套旋耕机、粮田打药机等。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农田节水工程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逐步新增、改善高效节水灌溉设施，对农业灌溉机井加装计量设施；实现农业用水全计量、全收费；建立农业高效节水设施良性运行管护机制；健全农业用水技术服务与监管体系。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农业防灾体系建设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建设区级病死动物无害化处理项目；建设综合气象观测站网，加强农业信息监测体系建设；完善建立新城防洪、排涝、应对自然灾害应急指挥系统。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生态环境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生态林建设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在永定河、城乡结合部、“填空造林”重点区域以及机场周边地区等，开展生态林建设；安定镇实施千亩彩叶林工程。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公园建设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实施古桑郊野森林公园、长子营湿地公园、南海子公园（二期）、新航城公园绿地项目建设。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河道绿化景观提升建设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实施新凤河（新城段）绿化景观提升11.1公里；实施永兴河（新城段）河道沿岸绿化景观提升4公里。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水处理设施建设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启动污水处理厂（再生水厂）升级扩建工程；启动农村污水收集处理设施建设，通过采取城带村、镇带村、联村合建、单村处理和单村收集存储等模式，新建村污水收集储存或处理设施。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水环境保护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规划建设长子营湿地，利用埝坛水库、团河行宫进行雨水、再生水调蓄。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粪污治理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建设雨污、粪污分流模式，对北运河粪污进行污染治理。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  <w:t>生态环境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清洁能源开发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推广使用太阳能热水系统、地源热泵、光伏建筑一体化等节能降耗技术，推行集中供暖和新能源供暖，实施农村地区煤改电、煤改气工程。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农田环境治理工程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沃土工程,促进农民利用有机肥料保护土壤环境；开展以净化、绿化、美化为重点，对农田、沟渠（河道）、片林、农业园区（含观光园）和农业重点产业带两侧等进行环境建设，力争达到园净、场净、田净、林净、水净、路净的“六净”目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河道生态修复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采用“控源截污、垃圾清理、清淤疏浚、水系联通、生态修复”等措施开展黑臭水体整治工作，消除全区黑臭水体。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城乡统筹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低收入村、户精准帮扶工程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配合组织部门开展“百家单位连百村，千名干部助千户”城乡共建活动；制定低收入村产业发展规划，对低收入户开展一对一帮扶；实施异地购置物业支持低收入村增收试点项目。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新型农民综合素质提升工程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实施农村实用人才培养工程，建设实训基地，培养实用人才；开展新型职业农民培育工程；实施新型农民素质提升工程，每年培训1万人次。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城乡结合部生态绿化工程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实施绿色隔离地区遗留地块、拆迁腾退地块的绿化工程。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健康绿道建设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实施永定河、新风河等健康绿道工程，重点建设人行步道、自行车道、驿站等；实施新凤河绿道工程，选线总长度约37.9公里；实施50公里区级健康绿道工程。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主题小镇建设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农业、旅游相结合，围绕主题鲜明、特色突出的西瓜、月季、葡萄、古桑、梨花、美食、航食、航空等主题，建设集休闲旅游、文化传承、科技教育为一体的魅力小镇。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城乡统筹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新型社区建设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重点推进魏善庄镇羊坊村、庞各庄镇梨花村等新型社区建设。</w:t>
            </w:r>
          </w:p>
        </w:tc>
      </w:tr>
      <w:tr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美丽乡村建设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各镇以每年不低于现有村庄15%的比例推进美丽乡村建设；每年对两个最美的乡村候选村实施基础设施提升建设。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农村基础设施建设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实施村级公益事业一事一议项目，实施农田基础设施提升工程。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农业公共信息服务平台建设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构建农业大数据平台；进行农业耕地质量、市场价格预测、等信息监测体系建设；建立健全农村集体“三资”在线监管平台。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信息进村入户工程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开展益农信息社建设；选择试点镇村，建设村级综合信息服务网站。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涉农电子商务平台建设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搭建农产品电子销售平台，发展以电子商务为支撑的新型订单农业，依托“鲜道网”、“味道网”等生鲜农产品电商平台，积极探索“基地+城市社区”鲜活农产品直配等农业电子商务新模式。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供水系统建设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新建黄村第三水厂、扩建榆垡镇供水设施项目。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防洪减灾体系建设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对南苑灌渠、凉凤灌渠、旱河、岔河进行疏挖治理。规划亦庄开发区京沪高速路东侧，新挖大羊坊沟；规划京九铁路，修建2条导流暗涵，将新凤河向北接入规划凤河，以减轻新城和亦庄新城的防洪压力。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137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  <w:t>区域协同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航食基地建设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建设长子营镇、庞各庄镇航空食品生产基地，重点建设示范基地、农产品质量安全追溯系统及农产品深加工。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szCs w:val="24"/>
                <w:lang w:bidi="ar"/>
              </w:rPr>
              <w:t>区域协同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外埠基地建设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建设种植、养殖外埠生产基地，通过农业高新技术推广辐射、乡村旅游半径延伸、信息和销售渠道共享等对接，合作建设环京津冀农产品生产基地。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京津冀农产品安全生产合作项目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配合北京市推进京津冀农产品统一标准化体系和检测结果互认，探索区域农产品质量安全监管体系，建立农产品质量安全信息共享平台。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观光休闲农业发展项目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整合京津冀观光休闲农业资源，建设京津冀地区市民旅游休闲基地，联手打造一批乡村旅游景观、基地和线路。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跨域水系治理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推动永定河生态供水和水环境建设，探索永定河、永兴河、凤河以及凤港减河跨域河流的共治共管，联合实施生态修复、景观绿化、防污减排和水质净化。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绿色廊道建设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沿机场周边、京冀交界处建设大尺度、景观化森林，沿永定河建设游憩森林公园群，沿京台高速、新机场高速、京开高速、京霸铁路等通道建设生态绿带。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农产品流通合作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配合北京市探索建立农业资源和交易信息网络合作平台。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机场周边村庄基础设施建设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榆垡镇完成农村街坊路、节能灯、公厕、桥梁等建设工程。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机场周边文化旅游产业发展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推进梨文化主题公园、中国西瓜文化创意博览园、月季博物馆、恭勤夫人墓等文化旅游项目建设。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17C13"/>
    <w:rsid w:val="6C9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2021-12-20T03:08:00Z</dcterms:created>
  <dc:creator>อยู่ชายเล็ก</dc:creator>
  <cp:lastModifiedBy>อยู่ชายเล็ก</cp:lastModifiedBy>
  <dcterms:modified xsi:type="dcterms:W3CDTF">2021-12-20T03:08:43Z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CC1084E815174F258B516829734AA21D</vt:lpwstr>
  </property>
</Properties>
</file>