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0" w:name="_Toc10340"/>
      <w:r>
        <w:rPr>
          <w:rFonts w:hint="eastAsia"/>
        </w:rPr>
        <w:t>十二、坚持落实高标准，加快确立执行保障机制</w:t>
      </w:r>
      <w:bookmarkEnd w:id="0"/>
    </w:p>
    <w:p>
      <w:pPr>
        <w:rPr>
          <w:rFonts w:hint="eastAsia"/>
        </w:rPr>
      </w:pPr>
      <w:r>
        <w:rPr>
          <w:rFonts w:hint="eastAsia"/>
        </w:rPr>
        <w:t>适应新型城镇化、城乡统筹发展、京津冀一体化发展新形势，统筹协调、加大投入，规范发展；按照“抓落实、建机制、强督查”的要求，确保规划有效实施。</w:t>
      </w:r>
    </w:p>
    <w:p>
      <w:pPr>
        <w:pStyle w:val="3"/>
        <w:spacing w:before="219" w:after="219"/>
        <w:rPr>
          <w:rFonts w:hint="eastAsia"/>
        </w:rPr>
      </w:pPr>
      <w:bookmarkStart w:id="1" w:name="_Toc15998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"file:///C:\\Users\\dell\\Desktop\\20151226大兴十三五规划(设计院).doc" \l "_Toc9781" </w:instrText>
      </w:r>
      <w:r>
        <w:rPr>
          <w:rFonts w:hint="eastAsia"/>
        </w:rPr>
        <w:fldChar w:fldCharType="separate"/>
      </w:r>
      <w:bookmarkStart w:id="2" w:name="_Toc438906897"/>
      <w:r>
        <w:rPr>
          <w:rFonts w:hint="eastAsia"/>
        </w:rPr>
        <w:t>（一）加强组织领导，强化统筹协调</w:t>
      </w:r>
      <w:bookmarkEnd w:id="2"/>
      <w:r>
        <w:rPr>
          <w:rFonts w:hint="eastAsia"/>
        </w:rPr>
        <w:fldChar w:fldCharType="end"/>
      </w:r>
      <w:bookmarkEnd w:id="1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切实加强规划实施的组织领导</w:t>
      </w:r>
      <w:r>
        <w:rPr>
          <w:rFonts w:hint="eastAsia"/>
        </w:rPr>
        <w:t>，依据规划确定的目标和重点任务，制定推进方案，明确责任部门、工作重点、实施路径和时间进度，细化政策措施，狠抓任务落实。</w:t>
      </w:r>
      <w:r>
        <w:rPr>
          <w:rFonts w:hint="eastAsia"/>
          <w:b/>
        </w:rPr>
        <w:t>建立规划实施考核机制</w:t>
      </w:r>
      <w:r>
        <w:rPr>
          <w:rFonts w:hint="eastAsia"/>
        </w:rPr>
        <w:t>，健全考核评价指标体系，着力提高工作效能，确保规划目标任务的完成。</w:t>
      </w:r>
      <w:r>
        <w:rPr>
          <w:rFonts w:hint="eastAsia"/>
          <w:b/>
        </w:rPr>
        <w:t>监督规划实施情况</w:t>
      </w:r>
      <w:r>
        <w:rPr>
          <w:rFonts w:hint="eastAsia"/>
        </w:rPr>
        <w:t>，开展规划实施情况年度监测和中期评估，及时总结经验、发现问题，实行重点建设项目中期小幅调整机制，并主动接受社会各界的监督。</w:t>
      </w:r>
      <w:r>
        <w:rPr>
          <w:rFonts w:hint="eastAsia"/>
          <w:b/>
        </w:rPr>
        <w:t>加强宣传</w:t>
      </w:r>
      <w:r>
        <w:rPr>
          <w:rFonts w:hint="eastAsia"/>
        </w:rPr>
        <w:t>，组织培训，提高涉农干部对规划落实的认识；开展多种形式的宣传，加强与群众的沟通交流，凝聚共识，争取广泛支持。</w:t>
      </w:r>
    </w:p>
    <w:p>
      <w:pPr>
        <w:pStyle w:val="3"/>
        <w:spacing w:before="219" w:after="219"/>
        <w:rPr>
          <w:rFonts w:hint="eastAsia"/>
        </w:rPr>
      </w:pPr>
      <w:bookmarkStart w:id="3" w:name="_Toc30013"/>
      <w:bookmarkStart w:id="4" w:name="_Toc26964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"file:///C:\\Users\\dell\\Desktop\\20151226大兴十三五规划(设计院).doc" \l "_Toc11624" </w:instrText>
      </w:r>
      <w:r>
        <w:rPr>
          <w:rFonts w:hint="eastAsia"/>
        </w:rPr>
        <w:fldChar w:fldCharType="separate"/>
      </w:r>
      <w:bookmarkStart w:id="5" w:name="_Toc438906898"/>
      <w:r>
        <w:rPr>
          <w:rFonts w:hint="eastAsia"/>
        </w:rPr>
        <w:t>（二）加强政策引导，加大农业投入</w:t>
      </w:r>
      <w:bookmarkEnd w:id="5"/>
      <w:r>
        <w:rPr>
          <w:rFonts w:hint="eastAsia"/>
        </w:rPr>
        <w:fldChar w:fldCharType="end"/>
      </w:r>
      <w:bookmarkEnd w:id="3"/>
      <w:bookmarkEnd w:id="4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统筹政府投入</w:t>
      </w:r>
      <w:r>
        <w:rPr>
          <w:rFonts w:hint="eastAsia"/>
        </w:rPr>
        <w:t>，合理安排财政资金，加大对农业重点工程、重点产业、重要领域和关键环节的投入扶持力度，重点向低收入群体增收、农业结构调整、生态环境建设、科技创新等领域倾斜。</w:t>
      </w:r>
      <w:r>
        <w:rPr>
          <w:rFonts w:hint="eastAsia"/>
          <w:b/>
        </w:rPr>
        <w:t>吸引社会资本</w:t>
      </w:r>
      <w:r>
        <w:rPr>
          <w:rFonts w:hint="eastAsia"/>
        </w:rPr>
        <w:t>，积极引导民间资金、社会工商资本等投资农业，鼓励、支持社会企业投资发展现代农业。</w:t>
      </w:r>
      <w:r>
        <w:rPr>
          <w:rFonts w:hint="eastAsia"/>
          <w:b/>
        </w:rPr>
        <w:t>撬动金融资本</w:t>
      </w:r>
      <w:r>
        <w:rPr>
          <w:rFonts w:hint="eastAsia"/>
        </w:rPr>
        <w:t>，加强与北京市农业投资公司、农业担保公司的合作，充分利用北京市农村产权交易平台，完善建立投融资机制，引导商业金融进入农业领域。</w:t>
      </w:r>
      <w:r>
        <w:rPr>
          <w:rFonts w:hint="eastAsia"/>
          <w:b/>
        </w:rPr>
        <w:t>激活农村资本</w:t>
      </w:r>
      <w:r>
        <w:rPr>
          <w:rFonts w:hint="eastAsia"/>
        </w:rPr>
        <w:t>，</w:t>
      </w:r>
      <w:r>
        <w:t>建立和完善农村合作金融体系，</w:t>
      </w:r>
      <w:r>
        <w:rPr>
          <w:rFonts w:hint="eastAsia"/>
        </w:rPr>
        <w:t>强化农村集体资产经营，着力构建现代农业投入保障框架。</w:t>
      </w:r>
    </w:p>
    <w:p>
      <w:pPr>
        <w:pStyle w:val="3"/>
        <w:spacing w:before="219" w:after="219"/>
        <w:rPr>
          <w:rFonts w:hint="eastAsia"/>
        </w:rPr>
      </w:pPr>
      <w:bookmarkStart w:id="6" w:name="_Toc9224"/>
      <w:bookmarkStart w:id="7" w:name="_Toc22678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"file:///C:\\Users\\dell\\Desktop\\20151226大兴十三五规划(设计院).doc" \l "_Toc26622" </w:instrText>
      </w:r>
      <w:r>
        <w:rPr>
          <w:rFonts w:hint="eastAsia"/>
        </w:rPr>
        <w:fldChar w:fldCharType="separate"/>
      </w:r>
      <w:bookmarkStart w:id="8" w:name="_Toc438906900"/>
      <w:r>
        <w:rPr>
          <w:rFonts w:hint="eastAsia"/>
        </w:rPr>
        <w:t>（三）加强依法行政，构建法治环境</w:t>
      </w:r>
      <w:bookmarkEnd w:id="8"/>
      <w:r>
        <w:rPr>
          <w:rFonts w:hint="eastAsia"/>
        </w:rPr>
        <w:fldChar w:fldCharType="end"/>
      </w:r>
      <w:bookmarkEnd w:id="6"/>
      <w:bookmarkEnd w:id="7"/>
      <w:bookmarkStart w:id="9" w:name="_Toc8216"/>
      <w:bookmarkStart w:id="10" w:name="_Toc28289"/>
      <w:bookmarkStart w:id="11" w:name="_Toc6431"/>
      <w:bookmarkStart w:id="12" w:name="_Toc2885"/>
      <w:bookmarkStart w:id="13" w:name="_Toc14004"/>
      <w:bookmarkStart w:id="14" w:name="_Toc29582"/>
    </w:p>
    <w:p>
      <w:pPr>
        <w:tabs>
          <w:tab w:val="left" w:pos="3472"/>
        </w:tabs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打造规范高效政务环境</w:t>
      </w:r>
      <w:r>
        <w:rPr>
          <w:rFonts w:hint="eastAsia"/>
        </w:rPr>
        <w:t>，深化行政审批制度改革，进一步提高行政审批效率；深入推进政务信息公开，增强政策制定、项目建设的透明度和公众参与度。</w:t>
      </w:r>
      <w:r>
        <w:rPr>
          <w:rFonts w:hint="eastAsia"/>
          <w:b/>
        </w:rPr>
        <w:t>打造廉洁公正法治环境</w:t>
      </w:r>
      <w:r>
        <w:rPr>
          <w:rFonts w:hint="eastAsia"/>
        </w:rPr>
        <w:t>，推进事权规范化和行政权力运行法治化，促进严格规范公正文明执法。</w:t>
      </w:r>
      <w:r>
        <w:rPr>
          <w:rFonts w:hint="eastAsia"/>
          <w:b/>
        </w:rPr>
        <w:t>打造高素质执法队伍</w:t>
      </w:r>
      <w:r>
        <w:rPr>
          <w:rFonts w:hint="eastAsia"/>
        </w:rPr>
        <w:t>，规范农业执法程序，加大农业执法培训，加强农业综合、联合执法，不断提高依法行政水平。</w:t>
      </w:r>
    </w:p>
    <w:bookmarkEnd w:id="9"/>
    <w:bookmarkEnd w:id="10"/>
    <w:bookmarkEnd w:id="11"/>
    <w:bookmarkEnd w:id="12"/>
    <w:bookmarkEnd w:id="13"/>
    <w:bookmarkEnd w:id="14"/>
    <w:p>
      <w:pPr>
        <w:pStyle w:val="3"/>
        <w:spacing w:before="219" w:after="219"/>
        <w:rPr>
          <w:rFonts w:hint="eastAsia"/>
        </w:rPr>
      </w:pPr>
      <w:bookmarkStart w:id="15" w:name="_Toc438906882"/>
      <w:bookmarkStart w:id="16" w:name="_Toc22005"/>
      <w:r>
        <w:rPr>
          <w:rFonts w:hint="eastAsia"/>
        </w:rPr>
        <w:t>（四）</w:t>
      </w:r>
      <w:bookmarkEnd w:id="15"/>
      <w:r>
        <w:rPr>
          <w:rFonts w:hint="eastAsia"/>
        </w:rPr>
        <w:t>加强队伍建设，保障事业发展</w:t>
      </w:r>
      <w:bookmarkEnd w:id="16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加强思想政治建设</w:t>
      </w:r>
      <w:r>
        <w:rPr>
          <w:rFonts w:hint="eastAsia"/>
        </w:rPr>
        <w:t>，切实增强落实“四个全面”战略布局的自觉性、坚定性，加大党在农村各项政策落实的监督检查，深入落实改进作风各项规定。</w:t>
      </w:r>
      <w:r>
        <w:rPr>
          <w:rFonts w:hint="eastAsia"/>
          <w:b/>
        </w:rPr>
        <w:t>高水平培养干部</w:t>
      </w:r>
      <w:r>
        <w:rPr>
          <w:rFonts w:hint="eastAsia"/>
        </w:rPr>
        <w:t>，全方位、大规模开展涉农干部培训，完善建立干部培养、发现、锻炼、推荐机制；加强对农村“两委”班子、后备干部的培训力度，提升农村干部做好“三农”工作的战斗力；弘扬党的优良作风，积极践行群众路线，千方百计解决基层困难，</w:t>
      </w:r>
      <w:r>
        <w:rPr>
          <w:rFonts w:hint="eastAsia"/>
          <w:b/>
        </w:rPr>
        <w:t>加强反腐倡廉建设</w:t>
      </w:r>
      <w:r>
        <w:rPr>
          <w:rFonts w:hint="eastAsia"/>
        </w:rPr>
        <w:t>，尊崇党章，严格执行《中国共产党廉洁自律准则》和《中国共产党纪律处分条例》等党规党纪；认真落实党委主体和纪委监督“两个责任”，</w:t>
      </w:r>
      <w:r>
        <w:t>完善重大决策的规则和程序，</w:t>
      </w:r>
      <w:r>
        <w:rPr>
          <w:rFonts w:hint="eastAsia"/>
        </w:rPr>
        <w:t>健全重大决策专家咨询制度，深化落实决策留痕、结果查究等制度机制，</w:t>
      </w:r>
      <w:r>
        <w:t>加强对权力运行的制约和监督</w:t>
      </w:r>
      <w:r>
        <w:rPr>
          <w:rFonts w:hint="eastAsia"/>
        </w:rPr>
        <w:t>，巩固风清气正的良好氛围。</w:t>
      </w:r>
      <w:r>
        <w:rPr>
          <w:rFonts w:hint="eastAsia"/>
          <w:b/>
        </w:rPr>
        <w:t>履行安全监管职责，</w:t>
      </w:r>
      <w:r>
        <w:rPr>
          <w:rFonts w:hint="eastAsia"/>
        </w:rPr>
        <w:t>落实安全生产“一岗双责”，健全安全生产责任制，加强对农村沼气和秸秆</w:t>
      </w:r>
      <w:bookmarkStart w:id="17" w:name="_GoBack"/>
      <w:bookmarkEnd w:id="17"/>
      <w:r>
        <w:rPr>
          <w:rFonts w:hint="eastAsia"/>
        </w:rPr>
        <w:t>燃气站运行、农机作业和设施农业生产、森林防火和动植物疫情防控、一事一议和重点工程建设等安全生产的监督检查，定期排查安全生产隐患，保障人民群众的生命财产安全。</w:t>
      </w:r>
      <w:r>
        <w:rPr>
          <w:rFonts w:hint="eastAsia"/>
          <w:b/>
        </w:rPr>
        <w:t>健全矛盾化解机制，</w:t>
      </w:r>
      <w:r>
        <w:rPr>
          <w:rFonts w:hint="eastAsia"/>
        </w:rPr>
        <w:t>落实农业</w:t>
      </w:r>
      <w:r>
        <w:rPr>
          <w:rStyle w:val="7"/>
          <w:rFonts w:ascii="微软雅黑" w:hAnsi="微软雅黑"/>
          <w:color w:val="242424"/>
        </w:rPr>
        <w:t>重大决策</w:t>
      </w:r>
      <w:r>
        <w:rPr>
          <w:rStyle w:val="7"/>
          <w:rFonts w:hint="eastAsia" w:ascii="微软雅黑" w:hAnsi="微软雅黑"/>
          <w:color w:val="242424"/>
        </w:rPr>
        <w:t>、重大项目、重大改革</w:t>
      </w:r>
      <w:r>
        <w:rPr>
          <w:rStyle w:val="7"/>
          <w:rFonts w:ascii="微软雅黑" w:hAnsi="微软雅黑"/>
          <w:color w:val="242424"/>
        </w:rPr>
        <w:t>社会稳定风险评估制度，完善调解、仲裁、行政裁决、行政复议、诉讼等有机衔接、相互协调的多元化纠纷解决机制</w:t>
      </w:r>
      <w:r>
        <w:rPr>
          <w:rStyle w:val="7"/>
          <w:rFonts w:hint="eastAsia" w:ascii="微软雅黑" w:hAnsi="微软雅黑"/>
          <w:color w:val="242424"/>
        </w:rPr>
        <w:t>，为“三农”发展保驾护航</w:t>
      </w:r>
      <w:r>
        <w:rPr>
          <w:rStyle w:val="7"/>
          <w:rFonts w:ascii="微软雅黑" w:hAnsi="微软雅黑"/>
          <w:color w:val="2424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47F41"/>
    <w:rsid w:val="220B13A4"/>
    <w:rsid w:val="6A4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style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2021-12-20T03:07:00Z</dcterms:created>
  <dc:creator>อยู่ชายเล็ก</dc:creator>
  <cp:lastModifiedBy>米露露</cp:lastModifiedBy>
  <dcterms:modified xsi:type="dcterms:W3CDTF">2022-03-11T12:35:00Z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07289CA8B25942609A9FF2CBD8047E20</vt:lpwstr>
  </property>
</Properties>
</file>