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4"/>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pPr>
        <w:spacing w:line="560" w:lineRule="exact"/>
        <w:ind w:right="422" w:rightChars="201" w:firstLine="640" w:firstLineChars="200"/>
        <w:rPr>
          <w:rFonts w:hint="eastAsia" w:ascii="楷体" w:hAnsi="楷体" w:eastAsia="楷体" w:cs="楷体"/>
          <w:color w:val="000000"/>
          <w:sz w:val="32"/>
          <w:szCs w:val="32"/>
        </w:rPr>
      </w:pPr>
      <w:r>
        <w:rPr>
          <w:rFonts w:hint="eastAsia" w:ascii="楷体" w:hAnsi="楷体" w:eastAsia="楷体" w:cs="楷体"/>
          <w:color w:val="000000"/>
          <w:sz w:val="32"/>
          <w:szCs w:val="32"/>
        </w:rPr>
        <w:t>（一）主要职能</w:t>
      </w:r>
    </w:p>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838" w:firstLineChars="262"/>
        <w:jc w:val="both"/>
        <w:rPr>
          <w:rFonts w:hint="eastAsia" w:ascii="仿宋_GB2312" w:hAnsi="Times New Roman" w:eastAsia="仿宋_GB2312" w:cs="Times New Roman"/>
          <w:b w:val="0"/>
          <w:color w:val="000000"/>
          <w:kern w:val="2"/>
          <w:sz w:val="32"/>
          <w:szCs w:val="32"/>
          <w:lang w:val="en-US" w:eastAsia="zh-CN" w:bidi="ar-SA"/>
        </w:rPr>
      </w:pPr>
      <w:r>
        <w:rPr>
          <w:rFonts w:hint="eastAsia" w:ascii="仿宋_GB2312" w:hAnsi="Times New Roman" w:eastAsia="仿宋_GB2312" w:cs="Times New Roman"/>
          <w:b w:val="0"/>
          <w:color w:val="000000"/>
          <w:kern w:val="2"/>
          <w:sz w:val="32"/>
          <w:szCs w:val="32"/>
          <w:lang w:val="en-US" w:eastAsia="zh-CN" w:bidi="ar-SA"/>
        </w:rPr>
        <w:t>1、负责指导组织残疾人扶贫解困、职业技能培训工作</w:t>
      </w:r>
      <w:r>
        <w:rPr>
          <w:rFonts w:hint="default" w:ascii="仿宋_GB2312" w:hAnsi="Times New Roman" w:eastAsia="仿宋_GB2312" w:cs="Times New Roman"/>
          <w:b w:val="0"/>
          <w:color w:val="000000"/>
          <w:kern w:val="2"/>
          <w:sz w:val="32"/>
          <w:szCs w:val="32"/>
          <w:lang w:val="en-US" w:eastAsia="zh-CN" w:bidi="ar-SA"/>
        </w:rPr>
        <w:t>；</w:t>
      </w:r>
    </w:p>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仿宋_GB2312" w:hAnsi="Times New Roman" w:eastAsia="仿宋_GB2312" w:cs="Times New Roman"/>
          <w:b w:val="0"/>
          <w:color w:val="000000"/>
          <w:kern w:val="2"/>
          <w:sz w:val="32"/>
          <w:szCs w:val="32"/>
          <w:lang w:val="en-US" w:eastAsia="zh-CN" w:bidi="ar-SA"/>
        </w:rPr>
      </w:pPr>
      <w:r>
        <w:rPr>
          <w:rFonts w:hint="default" w:ascii="仿宋_GB2312" w:hAnsi="Times New Roman" w:eastAsia="仿宋_GB2312" w:cs="Times New Roman"/>
          <w:b w:val="0"/>
          <w:color w:val="000000"/>
          <w:kern w:val="2"/>
          <w:sz w:val="32"/>
          <w:szCs w:val="32"/>
          <w:lang w:val="en-US" w:eastAsia="zh-CN" w:bidi="ar-SA"/>
        </w:rPr>
        <w:t>　　</w:t>
      </w:r>
      <w:r>
        <w:rPr>
          <w:rFonts w:hint="eastAsia" w:ascii="仿宋_GB2312" w:hAnsi="Times New Roman" w:eastAsia="仿宋_GB2312" w:cs="Times New Roman"/>
          <w:b w:val="0"/>
          <w:color w:val="000000"/>
          <w:kern w:val="2"/>
          <w:sz w:val="32"/>
          <w:szCs w:val="32"/>
          <w:lang w:val="en-US" w:eastAsia="zh-CN" w:bidi="ar-SA"/>
        </w:rPr>
        <w:t xml:space="preserve"> </w:t>
      </w:r>
      <w:r>
        <w:rPr>
          <w:rFonts w:hint="default" w:ascii="仿宋_GB2312" w:hAnsi="Times New Roman" w:eastAsia="仿宋_GB2312" w:cs="Times New Roman"/>
          <w:b w:val="0"/>
          <w:color w:val="000000"/>
          <w:kern w:val="2"/>
          <w:sz w:val="32"/>
          <w:szCs w:val="32"/>
          <w:lang w:val="en-US" w:eastAsia="zh-CN" w:bidi="ar-SA"/>
        </w:rPr>
        <w:t>2、负责全区残疾人的就业帮助与指导；</w:t>
      </w:r>
    </w:p>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仿宋_GB2312" w:hAnsi="Times New Roman" w:eastAsia="仿宋_GB2312" w:cs="Times New Roman"/>
          <w:b w:val="0"/>
          <w:color w:val="000000"/>
          <w:kern w:val="2"/>
          <w:sz w:val="32"/>
          <w:szCs w:val="32"/>
          <w:lang w:val="en-US" w:eastAsia="zh-CN" w:bidi="ar-SA"/>
        </w:rPr>
      </w:pPr>
      <w:r>
        <w:rPr>
          <w:rFonts w:hint="default" w:ascii="仿宋_GB2312" w:hAnsi="Times New Roman" w:eastAsia="仿宋_GB2312" w:cs="Times New Roman"/>
          <w:b w:val="0"/>
          <w:color w:val="000000"/>
          <w:kern w:val="2"/>
          <w:sz w:val="32"/>
          <w:szCs w:val="32"/>
          <w:lang w:val="en-US" w:eastAsia="zh-CN" w:bidi="ar-SA"/>
        </w:rPr>
        <w:t>　　</w:t>
      </w:r>
      <w:r>
        <w:rPr>
          <w:rFonts w:hint="eastAsia" w:ascii="仿宋_GB2312" w:hAnsi="Times New Roman" w:eastAsia="仿宋_GB2312" w:cs="Times New Roman"/>
          <w:b w:val="0"/>
          <w:color w:val="000000"/>
          <w:kern w:val="2"/>
          <w:sz w:val="32"/>
          <w:szCs w:val="32"/>
          <w:lang w:val="en-US" w:eastAsia="zh-CN" w:bidi="ar-SA"/>
        </w:rPr>
        <w:t xml:space="preserve"> </w:t>
      </w:r>
      <w:r>
        <w:rPr>
          <w:rFonts w:hint="default" w:ascii="仿宋_GB2312" w:hAnsi="Times New Roman" w:eastAsia="仿宋_GB2312" w:cs="Times New Roman"/>
          <w:b w:val="0"/>
          <w:color w:val="000000"/>
          <w:kern w:val="2"/>
          <w:sz w:val="32"/>
          <w:szCs w:val="32"/>
          <w:lang w:val="en-US" w:eastAsia="zh-CN" w:bidi="ar-SA"/>
        </w:rPr>
        <w:t>3、负责辖区内用人单位安置残疾人就业审核工作；</w:t>
      </w:r>
    </w:p>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仿宋_GB2312" w:hAnsi="Times New Roman" w:eastAsia="仿宋_GB2312" w:cs="Times New Roman"/>
          <w:b w:val="0"/>
          <w:color w:val="000000"/>
          <w:kern w:val="2"/>
          <w:sz w:val="32"/>
          <w:szCs w:val="32"/>
          <w:lang w:val="en-US" w:eastAsia="zh-CN" w:bidi="ar-SA"/>
        </w:rPr>
      </w:pPr>
      <w:r>
        <w:rPr>
          <w:rFonts w:hint="default" w:ascii="仿宋_GB2312" w:hAnsi="Times New Roman" w:eastAsia="仿宋_GB2312" w:cs="Times New Roman"/>
          <w:b w:val="0"/>
          <w:color w:val="000000"/>
          <w:kern w:val="2"/>
          <w:sz w:val="32"/>
          <w:szCs w:val="32"/>
          <w:lang w:val="en-US" w:eastAsia="zh-CN" w:bidi="ar-SA"/>
        </w:rPr>
        <w:t>　　</w:t>
      </w:r>
      <w:r>
        <w:rPr>
          <w:rFonts w:hint="eastAsia" w:ascii="仿宋_GB2312" w:hAnsi="Times New Roman" w:eastAsia="仿宋_GB2312" w:cs="Times New Roman"/>
          <w:b w:val="0"/>
          <w:color w:val="000000"/>
          <w:kern w:val="2"/>
          <w:sz w:val="32"/>
          <w:szCs w:val="32"/>
          <w:lang w:val="en-US" w:eastAsia="zh-CN" w:bidi="ar-SA"/>
        </w:rPr>
        <w:t xml:space="preserve"> </w:t>
      </w:r>
      <w:r>
        <w:rPr>
          <w:rFonts w:hint="default" w:ascii="仿宋_GB2312" w:hAnsi="Times New Roman" w:eastAsia="仿宋_GB2312" w:cs="Times New Roman"/>
          <w:b w:val="0"/>
          <w:color w:val="000000"/>
          <w:kern w:val="2"/>
          <w:sz w:val="32"/>
          <w:szCs w:val="32"/>
          <w:lang w:val="en-US" w:eastAsia="zh-CN" w:bidi="ar-SA"/>
        </w:rPr>
        <w:t>4、负责协助有关部门开展残疾人社会保障工作；</w:t>
      </w:r>
    </w:p>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仿宋_GB2312" w:hAnsi="Times New Roman" w:eastAsia="仿宋_GB2312" w:cs="Times New Roman"/>
          <w:b w:val="0"/>
          <w:color w:val="000000"/>
          <w:kern w:val="2"/>
          <w:sz w:val="32"/>
          <w:szCs w:val="32"/>
          <w:lang w:val="en-US" w:eastAsia="zh-CN" w:bidi="ar-SA"/>
        </w:rPr>
      </w:pPr>
      <w:r>
        <w:rPr>
          <w:rFonts w:hint="default" w:ascii="仿宋_GB2312" w:hAnsi="Times New Roman" w:eastAsia="仿宋_GB2312" w:cs="Times New Roman"/>
          <w:b w:val="0"/>
          <w:color w:val="000000"/>
          <w:kern w:val="2"/>
          <w:sz w:val="32"/>
          <w:szCs w:val="32"/>
          <w:lang w:val="en-US" w:eastAsia="zh-CN" w:bidi="ar-SA"/>
        </w:rPr>
        <w:t>　　</w:t>
      </w:r>
      <w:r>
        <w:rPr>
          <w:rFonts w:hint="eastAsia" w:ascii="仿宋_GB2312" w:hAnsi="Times New Roman" w:eastAsia="仿宋_GB2312" w:cs="Times New Roman"/>
          <w:b w:val="0"/>
          <w:color w:val="000000"/>
          <w:kern w:val="2"/>
          <w:sz w:val="32"/>
          <w:szCs w:val="32"/>
          <w:lang w:val="en-US" w:eastAsia="zh-CN" w:bidi="ar-SA"/>
        </w:rPr>
        <w:t xml:space="preserve"> </w:t>
      </w:r>
      <w:r>
        <w:rPr>
          <w:rFonts w:hint="default" w:ascii="仿宋_GB2312" w:hAnsi="Times New Roman" w:eastAsia="仿宋_GB2312" w:cs="Times New Roman"/>
          <w:b w:val="0"/>
          <w:color w:val="000000"/>
          <w:kern w:val="2"/>
          <w:sz w:val="32"/>
          <w:szCs w:val="32"/>
          <w:lang w:val="en-US" w:eastAsia="zh-CN" w:bidi="ar-SA"/>
        </w:rPr>
        <w:t>5、负责指导并组织全区盲人按摩职工作；</w:t>
      </w:r>
    </w:p>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leftChars="0" w:right="0" w:firstLine="838" w:firstLineChars="262"/>
        <w:jc w:val="both"/>
        <w:rPr>
          <w:rFonts w:hint="default" w:ascii="仿宋_GB2312" w:hAnsi="Times New Roman" w:eastAsia="仿宋_GB2312" w:cs="Times New Roman"/>
          <w:b w:val="0"/>
          <w:color w:val="000000"/>
          <w:kern w:val="2"/>
          <w:sz w:val="32"/>
          <w:szCs w:val="32"/>
          <w:lang w:val="en-US" w:eastAsia="zh-CN" w:bidi="ar-SA"/>
        </w:rPr>
      </w:pPr>
      <w:r>
        <w:rPr>
          <w:rFonts w:hint="default" w:ascii="仿宋_GB2312" w:hAnsi="Times New Roman" w:eastAsia="仿宋_GB2312" w:cs="Times New Roman"/>
          <w:b w:val="0"/>
          <w:color w:val="000000"/>
          <w:kern w:val="2"/>
          <w:sz w:val="32"/>
          <w:szCs w:val="32"/>
          <w:lang w:val="en-US" w:eastAsia="zh-CN" w:bidi="ar-SA"/>
        </w:rPr>
        <w:t>6、负责协助区教委搞好残疾人特殊教育工作；</w:t>
      </w:r>
    </w:p>
    <w:p>
      <w:pPr>
        <w:spacing w:line="560" w:lineRule="exact"/>
        <w:ind w:left="0" w:leftChars="0" w:right="422" w:rightChars="201" w:firstLine="838" w:firstLineChars="262"/>
        <w:rPr>
          <w:rFonts w:ascii="仿宋_GB2312" w:eastAsia="仿宋_GB2312"/>
          <w:color w:val="000000"/>
          <w:sz w:val="32"/>
          <w:szCs w:val="32"/>
        </w:rPr>
      </w:pPr>
      <w:r>
        <w:rPr>
          <w:rFonts w:hint="eastAsia" w:ascii="仿宋_GB2312" w:eastAsia="仿宋_GB2312"/>
          <w:color w:val="000000"/>
          <w:sz w:val="32"/>
          <w:szCs w:val="32"/>
        </w:rPr>
        <w:t>7</w:t>
      </w:r>
      <w:r>
        <w:rPr>
          <w:rFonts w:hint="eastAsia" w:ascii="仿宋_GB2312" w:eastAsia="仿宋_GB2312"/>
          <w:color w:val="000000"/>
          <w:sz w:val="32"/>
          <w:szCs w:val="32"/>
          <w:lang w:eastAsia="zh-CN"/>
        </w:rPr>
        <w:t>、</w:t>
      </w:r>
      <w:r>
        <w:rPr>
          <w:rFonts w:hint="eastAsia" w:ascii="仿宋_GB2312" w:eastAsia="仿宋_GB2312"/>
          <w:color w:val="000000"/>
          <w:sz w:val="32"/>
          <w:szCs w:val="32"/>
        </w:rPr>
        <w:t>我单位没有行政事业性收费项目。</w:t>
      </w:r>
    </w:p>
    <w:p>
      <w:pPr>
        <w:spacing w:line="560" w:lineRule="exact"/>
        <w:ind w:right="422" w:rightChars="201" w:firstLine="640" w:firstLineChars="200"/>
        <w:rPr>
          <w:rFonts w:hint="eastAsia" w:ascii="楷体" w:hAnsi="楷体" w:eastAsia="楷体" w:cs="楷体"/>
          <w:color w:val="000000"/>
          <w:sz w:val="32"/>
          <w:szCs w:val="32"/>
        </w:rPr>
      </w:pPr>
      <w:r>
        <w:rPr>
          <w:rFonts w:hint="eastAsia" w:ascii="楷体" w:hAnsi="楷体" w:eastAsia="楷体" w:cs="楷体"/>
          <w:color w:val="000000"/>
          <w:sz w:val="32"/>
          <w:szCs w:val="32"/>
        </w:rPr>
        <w:t>（二）机构设置及人员情况</w:t>
      </w:r>
    </w:p>
    <w:p>
      <w:pPr>
        <w:spacing w:line="620" w:lineRule="exact"/>
        <w:ind w:left="424" w:leftChars="202" w:right="422" w:rightChars="201" w:firstLine="320" w:firstLineChars="100"/>
        <w:rPr>
          <w:rFonts w:hint="default" w:ascii="仿宋_GB2312" w:hAnsi="宋体" w:eastAsia="仿宋_GB2312" w:cs="仿宋_GB2312"/>
          <w:i w:val="0"/>
          <w:iCs w:val="0"/>
          <w:caps w:val="0"/>
          <w:color w:val="000000"/>
          <w:spacing w:val="0"/>
          <w:sz w:val="32"/>
          <w:szCs w:val="32"/>
          <w:shd w:val="clear" w:fill="FFFFFF"/>
        </w:rPr>
      </w:pPr>
      <w:r>
        <w:rPr>
          <w:rFonts w:ascii="仿宋_GB2312" w:hAnsi="宋体" w:eastAsia="仿宋_GB2312" w:cs="仿宋_GB2312"/>
          <w:i w:val="0"/>
          <w:iCs w:val="0"/>
          <w:caps w:val="0"/>
          <w:color w:val="000000"/>
          <w:spacing w:val="0"/>
          <w:sz w:val="32"/>
          <w:szCs w:val="32"/>
          <w:shd w:val="clear" w:fill="FFFFFF"/>
        </w:rPr>
        <w:t>大兴区残疾人就业服务中心为独立核算的</w:t>
      </w:r>
      <w:r>
        <w:rPr>
          <w:rFonts w:hint="default" w:ascii="仿宋_GB2312" w:hAnsi="宋体" w:eastAsia="仿宋_GB2312" w:cs="仿宋_GB2312"/>
          <w:i w:val="0"/>
          <w:iCs w:val="0"/>
          <w:caps w:val="0"/>
          <w:color w:val="000000"/>
          <w:spacing w:val="0"/>
          <w:sz w:val="32"/>
          <w:szCs w:val="32"/>
          <w:shd w:val="clear" w:fill="FFFFFF"/>
        </w:rPr>
        <w:t>公益一类事业单位，</w:t>
      </w:r>
      <w:r>
        <w:rPr>
          <w:rFonts w:hint="eastAsia" w:ascii="仿宋_GB2312" w:hAnsi="宋体" w:eastAsia="仿宋_GB2312" w:cs="仿宋_GB2312"/>
          <w:i w:val="0"/>
          <w:iCs w:val="0"/>
          <w:caps w:val="0"/>
          <w:color w:val="000000"/>
          <w:spacing w:val="0"/>
          <w:sz w:val="32"/>
          <w:szCs w:val="32"/>
          <w:shd w:val="clear" w:fill="FFFFFF"/>
          <w:lang w:eastAsia="zh-CN"/>
        </w:rPr>
        <w:t>无内设机构</w:t>
      </w:r>
      <w:r>
        <w:rPr>
          <w:rFonts w:hint="default" w:ascii="仿宋_GB2312" w:hAnsi="宋体" w:eastAsia="仿宋_GB2312" w:cs="仿宋_GB2312"/>
          <w:i w:val="0"/>
          <w:iCs w:val="0"/>
          <w:caps w:val="0"/>
          <w:color w:val="000000"/>
          <w:spacing w:val="0"/>
          <w:sz w:val="32"/>
          <w:szCs w:val="32"/>
          <w:shd w:val="clear" w:fill="FFFFFF"/>
        </w:rPr>
        <w:t>。</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411.87</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17.87万元，增长4.54%。</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380.37</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减少13.62万元，下降3.46%</w:t>
      </w:r>
      <w:r>
        <w:rPr>
          <w:rFonts w:hint="eastAsia" w:ascii="仿宋_GB2312" w:eastAsia="仿宋_GB2312"/>
          <w:sz w:val="28"/>
          <w:szCs w:val="28"/>
          <w:lang w:eastAsia="zh-CN"/>
        </w:rPr>
        <w:t>。</w:t>
      </w:r>
    </w:p>
    <w:p>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380.37</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hint="eastAsia" w:ascii="仿宋_GB2312" w:eastAsia="仿宋_GB2312"/>
          <w:sz w:val="28"/>
          <w:szCs w:val="28"/>
          <w:lang w:val="en-US" w:eastAsia="zh-CN"/>
        </w:rPr>
        <w:t>380.37</w:t>
      </w:r>
      <w:r>
        <w:rPr>
          <w:rFonts w:hint="eastAsia" w:ascii="仿宋_GB2312" w:eastAsia="仿宋_GB2312"/>
          <w:sz w:val="28"/>
          <w:szCs w:val="28"/>
        </w:rPr>
        <w:t>万元，占收入合计的</w:t>
      </w:r>
      <w:r>
        <w:rPr>
          <w:rFonts w:hint="eastAsia" w:ascii="仿宋_GB2312" w:eastAsia="仿宋_GB2312"/>
          <w:sz w:val="28"/>
          <w:szCs w:val="28"/>
          <w:lang w:val="en-US" w:eastAsia="zh-CN"/>
        </w:rPr>
        <w:t>100</w:t>
      </w:r>
      <w:r>
        <w:rPr>
          <w:rFonts w:hint="eastAsia" w:ascii="仿宋_GB2312" w:eastAsia="仿宋_GB2312"/>
          <w:sz w:val="28"/>
          <w:szCs w:val="28"/>
          <w:highlight w:val="none"/>
        </w:rPr>
        <w:t>%；</w:t>
      </w:r>
      <w:r>
        <w:rPr>
          <w:rFonts w:hint="eastAsia" w:ascii="仿宋_GB2312" w:eastAsia="仿宋_GB2312"/>
          <w:sz w:val="28"/>
          <w:szCs w:val="28"/>
          <w:lang w:eastAsia="zh-CN"/>
        </w:rPr>
        <w:t>政府性基金预算财政拨款收入</w:t>
      </w:r>
      <w:r>
        <w:rPr>
          <w:rFonts w:hint="eastAsia" w:ascii="仿宋_GB2312" w:eastAsia="仿宋_GB2312"/>
          <w:sz w:val="28"/>
          <w:szCs w:val="28"/>
          <w:lang w:val="en-US" w:eastAsia="zh-CN"/>
        </w:rPr>
        <w:t>0</w:t>
      </w:r>
      <w:r>
        <w:rPr>
          <w:rFonts w:hint="eastAsia" w:ascii="仿宋_GB2312" w:eastAsia="仿宋_GB2312"/>
          <w:sz w:val="28"/>
          <w:szCs w:val="28"/>
        </w:rPr>
        <w:t>万元，占收入合计的</w:t>
      </w:r>
      <w:r>
        <w:rPr>
          <w:rFonts w:hint="eastAsia" w:ascii="仿宋_GB2312" w:eastAsia="仿宋_GB2312"/>
          <w:sz w:val="28"/>
          <w:szCs w:val="28"/>
          <w:lang w:val="en-US" w:eastAsia="zh-CN"/>
        </w:rPr>
        <w:t>0</w:t>
      </w:r>
      <w:r>
        <w:rPr>
          <w:rFonts w:hint="eastAsia" w:ascii="仿宋_GB2312" w:eastAsia="仿宋_GB2312"/>
          <w:color w:val="auto"/>
          <w:sz w:val="28"/>
          <w:szCs w:val="28"/>
          <w:highlight w:val="none"/>
        </w:rPr>
        <w:t>%</w:t>
      </w:r>
      <w:r>
        <w:rPr>
          <w:rFonts w:hint="eastAsia" w:ascii="仿宋_GB2312" w:eastAsia="仿宋_GB2312"/>
          <w:sz w:val="28"/>
          <w:szCs w:val="28"/>
          <w:highlight w:val="none"/>
        </w:rPr>
        <w:t>；</w:t>
      </w:r>
      <w:r>
        <w:rPr>
          <w:rFonts w:hint="eastAsia" w:ascii="仿宋_GB2312" w:eastAsia="仿宋_GB2312"/>
          <w:sz w:val="28"/>
          <w:szCs w:val="28"/>
          <w:lang w:eastAsia="zh-CN"/>
        </w:rPr>
        <w:t>国有资本经营预算财政拨款收入</w:t>
      </w:r>
      <w:r>
        <w:rPr>
          <w:rFonts w:hint="eastAsia" w:ascii="仿宋_GB2312" w:eastAsia="仿宋_GB2312"/>
          <w:sz w:val="28"/>
          <w:szCs w:val="28"/>
          <w:lang w:val="en-US" w:eastAsia="zh-CN"/>
        </w:rPr>
        <w:t>0</w:t>
      </w:r>
      <w:r>
        <w:rPr>
          <w:rFonts w:hint="eastAsia" w:ascii="仿宋_GB2312" w:eastAsia="仿宋_GB2312"/>
          <w:sz w:val="28"/>
          <w:szCs w:val="28"/>
        </w:rPr>
        <w:t>万元，占收入合计的</w:t>
      </w:r>
      <w:r>
        <w:rPr>
          <w:rFonts w:hint="eastAsia" w:ascii="仿宋_GB2312" w:eastAsia="仿宋_GB2312"/>
          <w:sz w:val="28"/>
          <w:szCs w:val="28"/>
          <w:lang w:val="en-US" w:eastAsia="zh-CN"/>
        </w:rPr>
        <w:t>0</w:t>
      </w:r>
      <w:r>
        <w:rPr>
          <w:rFonts w:hint="eastAsia" w:ascii="仿宋_GB2312" w:eastAsia="仿宋_GB2312"/>
          <w:sz w:val="28"/>
          <w:szCs w:val="28"/>
          <w:highlight w:val="none"/>
        </w:rPr>
        <w:t>%</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rPr>
        <w:t>事业收入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4.经营收入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5.附属单位上缴收入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6.其他收入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pStyle w:val="4"/>
        <w:ind w:firstLine="0"/>
        <w:jc w:val="center"/>
      </w:pPr>
      <w:r>
        <w:rPr>
          <w:rFonts w:hint="eastAsia" w:ascii="仿宋_GB2312" w:eastAsia="仿宋_GB2312"/>
          <w:color w:val="000000"/>
          <w:sz w:val="32"/>
          <w:szCs w:val="32"/>
          <w:highlight w:val="none"/>
          <w:lang w:val="en-US" w:eastAsia="zh-CN"/>
        </w:rPr>
        <w:t>图1：收入决算</w:t>
      </w:r>
    </w:p>
    <w:p>
      <w:pPr>
        <w:pStyle w:val="5"/>
        <w:ind w:firstLine="420"/>
        <w:jc w:val="center"/>
      </w:pPr>
      <w:r>
        <w:drawing>
          <wp:inline distT="0" distB="0" distL="0" distR="0">
            <wp:extent cx="4036695" cy="1877060"/>
            <wp:effectExtent l="4445" t="4445" r="16510" b="2349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411.87</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17.87万元，增长4.54%，其中：基本支</w:t>
      </w:r>
      <w:r>
        <w:rPr>
          <w:rFonts w:hint="eastAsia" w:ascii="仿宋_GB2312" w:eastAsia="仿宋_GB2312"/>
          <w:sz w:val="28"/>
          <w:szCs w:val="28"/>
          <w:highlight w:val="none"/>
        </w:rPr>
        <w:t>出</w:t>
      </w:r>
      <w:r>
        <w:rPr>
          <w:rFonts w:ascii="仿宋_GB2312" w:eastAsia="仿宋_GB2312"/>
          <w:sz w:val="28"/>
          <w:szCs w:val="28"/>
          <w:highlight w:val="none"/>
        </w:rPr>
        <w:t>376.36</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91.38</w:t>
      </w:r>
      <w:r>
        <w:rPr>
          <w:rFonts w:hint="eastAsia" w:ascii="仿宋_GB2312" w:eastAsia="仿宋_GB2312"/>
          <w:sz w:val="28"/>
          <w:szCs w:val="28"/>
          <w:highlight w:val="none"/>
        </w:rPr>
        <w:t>%；项目支出</w:t>
      </w:r>
      <w:r>
        <w:rPr>
          <w:rFonts w:ascii="仿宋_GB2312" w:eastAsia="仿宋_GB2312"/>
          <w:sz w:val="28"/>
          <w:szCs w:val="28"/>
          <w:highlight w:val="none"/>
        </w:rPr>
        <w:t>35.51</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8.62</w:t>
      </w:r>
      <w:r>
        <w:rPr>
          <w:rFonts w:hint="eastAsia" w:ascii="仿宋_GB2312" w:eastAsia="仿宋_GB2312"/>
          <w:sz w:val="28"/>
          <w:szCs w:val="28"/>
          <w:highlight w:val="none"/>
        </w:rPr>
        <w:t>%;上缴上级支出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%；经营支出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%；对附属单位补助支出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r>
        <w:rPr>
          <w:rFonts w:hint="eastAsia" w:ascii="仿宋_GB2312" w:eastAsia="仿宋_GB2312"/>
          <w:sz w:val="28"/>
          <w:szCs w:val="28"/>
        </w:rPr>
        <w:t>。</w:t>
      </w:r>
    </w:p>
    <w:p>
      <w:pPr>
        <w:pStyle w:val="4"/>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411.87</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rPr>
        <w:t>17.87万元，增长4.54%。主要原因：2024年有结转资金31.5万元，用于补发以前年度</w:t>
      </w:r>
      <w:r>
        <w:rPr>
          <w:rFonts w:hint="eastAsia" w:ascii="仿宋_GB2312" w:eastAsia="仿宋_GB2312"/>
          <w:sz w:val="28"/>
          <w:szCs w:val="28"/>
          <w:lang w:eastAsia="zh-CN"/>
        </w:rPr>
        <w:t>住房补贴</w:t>
      </w:r>
      <w:r>
        <w:rPr>
          <w:rFonts w:hint="eastAsia" w:ascii="仿宋_GB2312" w:eastAsia="仿宋_GB2312"/>
          <w:sz w:val="28"/>
          <w:szCs w:val="28"/>
        </w:rPr>
        <w:t>。</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411.87</w:t>
      </w:r>
      <w:r>
        <w:rPr>
          <w:rFonts w:hint="eastAsia" w:ascii="仿宋_GB2312" w:eastAsia="仿宋_GB2312"/>
          <w:sz w:val="28"/>
          <w:szCs w:val="28"/>
        </w:rPr>
        <w:t>万元，主要用于以下方面（按大类）：社会保障和就业支出350.49万元，占本年财政拨款支出85.1%； 卫生健康支出29.88万元，占本年财政拨款支出7.25%</w:t>
      </w:r>
      <w:r>
        <w:rPr>
          <w:rFonts w:hint="eastAsia" w:ascii="仿宋_GB2312" w:eastAsia="仿宋_GB2312"/>
          <w:sz w:val="28"/>
          <w:szCs w:val="28"/>
          <w:lang w:eastAsia="zh-CN"/>
        </w:rPr>
        <w:t>；</w:t>
      </w:r>
      <w:r>
        <w:rPr>
          <w:rFonts w:hint="eastAsia" w:ascii="仿宋_GB2312" w:eastAsia="仿宋_GB2312"/>
          <w:sz w:val="28"/>
          <w:szCs w:val="28"/>
        </w:rPr>
        <w:t>住房保障支出31.5万元，占本年财政拨款支出</w:t>
      </w:r>
      <w:r>
        <w:rPr>
          <w:rFonts w:hint="eastAsia" w:ascii="仿宋_GB2312" w:eastAsia="仿宋_GB2312"/>
          <w:sz w:val="28"/>
          <w:szCs w:val="28"/>
          <w:lang w:eastAsia="zh-CN"/>
        </w:rPr>
        <w:t>的</w:t>
      </w:r>
      <w:r>
        <w:rPr>
          <w:rFonts w:hint="eastAsia" w:ascii="仿宋_GB2312" w:eastAsia="仿宋_GB2312"/>
          <w:sz w:val="28"/>
          <w:szCs w:val="28"/>
        </w:rPr>
        <w:t>7.65%。</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1、“社会保障和就业支出”（类）202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359.45</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350.49</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97.51</w:t>
      </w:r>
      <w:r>
        <w:rPr>
          <w:rFonts w:hint="eastAsia" w:ascii="仿宋_GB2312" w:eastAsia="仿宋_GB2312"/>
          <w:sz w:val="28"/>
          <w:szCs w:val="28"/>
        </w:rPr>
        <w:t>%。</w:t>
      </w:r>
    </w:p>
    <w:p>
      <w:pPr>
        <w:autoSpaceDE w:val="0"/>
        <w:autoSpaceDN w:val="0"/>
        <w:adjustRightInd w:val="0"/>
        <w:spacing w:line="580" w:lineRule="exact"/>
        <w:jc w:val="left"/>
        <w:rPr>
          <w:rFonts w:hint="eastAsia" w:ascii="仿宋_GB2312" w:eastAsia="仿宋_GB2312"/>
          <w:sz w:val="28"/>
          <w:szCs w:val="28"/>
        </w:rPr>
      </w:pP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“行政事业单位养老支出”202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35.26</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41.27</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117.04</w:t>
      </w:r>
      <w:r>
        <w:rPr>
          <w:rFonts w:hint="eastAsia" w:ascii="仿宋_GB2312" w:eastAsia="仿宋_GB2312"/>
          <w:sz w:val="28"/>
          <w:szCs w:val="28"/>
        </w:rPr>
        <w:t>%。主要原因：社保基数调整增加。</w:t>
      </w:r>
    </w:p>
    <w:p>
      <w:pPr>
        <w:pStyle w:val="2"/>
        <w:ind w:firstLine="840" w:firstLineChars="300"/>
        <w:rPr>
          <w:rFonts w:hint="eastAsia" w:eastAsia="仿宋_GB2312"/>
          <w:lang w:val="en-US" w:eastAsia="zh-CN"/>
        </w:rPr>
      </w:pPr>
      <w:r>
        <w:rPr>
          <w:rFonts w:hint="eastAsia" w:ascii="仿宋_GB2312" w:eastAsia="仿宋_GB2312"/>
          <w:sz w:val="28"/>
          <w:szCs w:val="28"/>
          <w:lang w:eastAsia="zh-CN"/>
        </w:rPr>
        <w:t>“</w:t>
      </w:r>
      <w:r>
        <w:rPr>
          <w:rFonts w:hint="eastAsia" w:ascii="仿宋_GB2312" w:eastAsia="仿宋_GB2312"/>
          <w:sz w:val="28"/>
          <w:szCs w:val="28"/>
        </w:rPr>
        <w:t>残疾人事业</w:t>
      </w:r>
      <w:r>
        <w:rPr>
          <w:rFonts w:hint="eastAsia" w:ascii="仿宋_GB2312" w:eastAsia="仿宋_GB2312"/>
          <w:sz w:val="28"/>
          <w:szCs w:val="28"/>
          <w:lang w:eastAsia="zh-CN"/>
        </w:rPr>
        <w:t>”</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323.21</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309.21</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95.67</w:t>
      </w:r>
      <w:r>
        <w:rPr>
          <w:rFonts w:hint="eastAsia" w:ascii="仿宋_GB2312" w:eastAsia="仿宋_GB2312"/>
          <w:sz w:val="28"/>
          <w:szCs w:val="28"/>
        </w:rPr>
        <w:t>%</w:t>
      </w:r>
      <w:r>
        <w:rPr>
          <w:rFonts w:hint="eastAsia" w:ascii="仿宋_GB2312" w:eastAsia="仿宋_GB2312"/>
          <w:sz w:val="28"/>
          <w:szCs w:val="28"/>
          <w:lang w:val="en-US" w:eastAsia="zh-CN"/>
        </w:rPr>
        <w:t>。</w:t>
      </w:r>
      <w:r>
        <w:rPr>
          <w:rFonts w:hint="eastAsia" w:ascii="仿宋_GB2312" w:eastAsia="仿宋_GB2312"/>
          <w:sz w:val="28"/>
          <w:szCs w:val="28"/>
        </w:rPr>
        <w:t>主要原因：部分项目支出减少。</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2、“卫生健康支出”(类)202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26.52</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29.88</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112.67</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“行政事业单位医疗”（款）202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26.52</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29.88</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112.67</w:t>
      </w:r>
      <w:r>
        <w:rPr>
          <w:rFonts w:hint="eastAsia" w:ascii="仿宋_GB2312" w:eastAsia="仿宋_GB2312"/>
          <w:sz w:val="28"/>
          <w:szCs w:val="28"/>
        </w:rPr>
        <w:t>%。主要原因：医疗保险基数调整</w:t>
      </w:r>
      <w:r>
        <w:rPr>
          <w:rFonts w:hint="eastAsia" w:ascii="仿宋_GB2312" w:eastAsia="仿宋_GB2312"/>
          <w:sz w:val="28"/>
          <w:szCs w:val="28"/>
          <w:lang w:eastAsia="zh-CN"/>
        </w:rPr>
        <w:t>增加</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、“住房保障支出”(类)202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31.5</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%。其中：</w:t>
      </w:r>
    </w:p>
    <w:p>
      <w:pPr>
        <w:spacing w:line="580" w:lineRule="exact"/>
        <w:ind w:firstLine="840" w:firstLineChars="300"/>
        <w:rPr>
          <w:rFonts w:hint="eastAsia" w:ascii="仿宋_GB2312" w:eastAsia="仿宋_GB2312"/>
          <w:sz w:val="28"/>
          <w:szCs w:val="28"/>
        </w:rPr>
      </w:pPr>
      <w:r>
        <w:rPr>
          <w:rFonts w:hint="eastAsia" w:ascii="仿宋_GB2312" w:eastAsia="仿宋_GB2312"/>
          <w:sz w:val="28"/>
          <w:szCs w:val="28"/>
        </w:rPr>
        <w:t>“住房改革支出”（款）202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31.5</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%。主要原因：补发以前年度购房补贴。</w:t>
      </w:r>
    </w:p>
    <w:p>
      <w:pPr>
        <w:pStyle w:val="2"/>
        <w:rPr>
          <w:rFonts w:hint="default" w:eastAsia="仿宋_GB2312"/>
          <w:lang w:val="en-US" w:eastAsia="zh-CN"/>
        </w:rPr>
      </w:pPr>
    </w:p>
    <w:p>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本单位2024年度无政府性基金预算财政拨款安排的支出</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376.36</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办公费、手续费、电费、邮电费、取暖费、物业管理费、差旅费、维修（护）费、租赁费、委托业务费、工会经费、福利费、公务用车运行维护费、其他商品和服务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退休费、</w:t>
      </w:r>
      <w:r>
        <w:rPr>
          <w:rFonts w:hint="eastAsia" w:ascii="仿宋_GB2312" w:eastAsia="仿宋_GB2312"/>
          <w:sz w:val="28"/>
          <w:szCs w:val="28"/>
        </w:rPr>
        <w:t>救济费</w:t>
      </w:r>
      <w:r>
        <w:rPr>
          <w:rFonts w:ascii="仿宋_GB2312" w:eastAsia="仿宋_GB2312"/>
          <w:sz w:val="28"/>
          <w:szCs w:val="28"/>
        </w:rPr>
        <w:t>、奖励金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0.91</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1.8</w:t>
      </w:r>
      <w:r>
        <w:rPr>
          <w:rFonts w:hint="eastAsia" w:ascii="仿宋_GB2312" w:eastAsia="仿宋_GB2312"/>
          <w:sz w:val="28"/>
          <w:szCs w:val="28"/>
        </w:rPr>
        <w:t>万元减少</w:t>
      </w:r>
      <w:r>
        <w:rPr>
          <w:rFonts w:hint="eastAsia" w:ascii="仿宋_GB2312" w:eastAsia="仿宋_GB2312"/>
          <w:sz w:val="28"/>
          <w:szCs w:val="28"/>
          <w:lang w:val="en-US" w:eastAsia="zh-CN"/>
        </w:rPr>
        <w:t>0.89</w:t>
      </w:r>
      <w:r>
        <w:rPr>
          <w:rFonts w:hint="eastAsia" w:ascii="仿宋_GB2312" w:eastAsia="仿宋_GB2312"/>
          <w:sz w:val="28"/>
          <w:szCs w:val="28"/>
        </w:rPr>
        <w:t>万元。其中：</w:t>
      </w:r>
    </w:p>
    <w:p>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w:t>
      </w:r>
      <w:r>
        <w:rPr>
          <w:rFonts w:hint="eastAsia" w:ascii="仿宋_GB2312" w:eastAsia="仿宋_GB2312"/>
          <w:sz w:val="28"/>
          <w:szCs w:val="28"/>
        </w:rPr>
        <w:t>万元。主要原因：</w:t>
      </w:r>
      <w:r>
        <w:rPr>
          <w:rFonts w:hint="eastAsia" w:ascii="仿宋_GB2312" w:eastAsia="仿宋_GB2312"/>
          <w:sz w:val="28"/>
          <w:szCs w:val="28"/>
          <w:lang w:eastAsia="zh-CN"/>
        </w:rPr>
        <w:t>无此项支出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年度因公出国（境）费用主要用于</w:t>
      </w:r>
      <w:r>
        <w:rPr>
          <w:rFonts w:hint="eastAsia" w:ascii="仿宋_GB2312" w:eastAsia="仿宋_GB2312"/>
          <w:sz w:val="28"/>
          <w:szCs w:val="28"/>
          <w:lang w:eastAsia="zh-CN"/>
        </w:rPr>
        <w:t>：无此项支出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年度组织因公出国（境）团组</w:t>
      </w:r>
      <w:r>
        <w:rPr>
          <w:rFonts w:hint="eastAsia" w:ascii="仿宋_GB2312" w:eastAsia="仿宋_GB2312"/>
          <w:sz w:val="28"/>
          <w:szCs w:val="28"/>
          <w:lang w:eastAsia="zh-CN"/>
        </w:rPr>
        <w:t>0</w:t>
      </w:r>
      <w:r>
        <w:rPr>
          <w:rFonts w:hint="eastAsia" w:ascii="仿宋_GB2312" w:eastAsia="仿宋_GB2312"/>
          <w:sz w:val="28"/>
          <w:szCs w:val="28"/>
        </w:rPr>
        <w:t>个、</w:t>
      </w:r>
      <w:r>
        <w:rPr>
          <w:rFonts w:hint="eastAsia" w:ascii="仿宋_GB2312" w:eastAsia="仿宋_GB2312"/>
          <w:sz w:val="28"/>
          <w:szCs w:val="28"/>
          <w:lang w:eastAsia="zh-CN"/>
        </w:rPr>
        <w:t>0</w:t>
      </w:r>
      <w:r>
        <w:rPr>
          <w:rFonts w:hint="eastAsia" w:ascii="仿宋_GB2312" w:eastAsia="仿宋_GB2312"/>
          <w:sz w:val="28"/>
          <w:szCs w:val="28"/>
        </w:rPr>
        <w:t>人次。</w:t>
      </w:r>
    </w:p>
    <w:p>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w:t>
      </w:r>
      <w:r>
        <w:rPr>
          <w:rFonts w:hint="eastAsia" w:ascii="仿宋_GB2312" w:eastAsia="仿宋_GB2312"/>
          <w:sz w:val="28"/>
          <w:szCs w:val="28"/>
        </w:rPr>
        <w:t>万元增加（减少）</w:t>
      </w:r>
      <w:r>
        <w:rPr>
          <w:rFonts w:hint="eastAsia" w:ascii="仿宋_GB2312" w:eastAsia="仿宋_GB2312"/>
          <w:sz w:val="28"/>
          <w:szCs w:val="28"/>
          <w:lang w:val="en-US" w:eastAsia="zh-CN"/>
        </w:rPr>
        <w:t>0</w:t>
      </w:r>
      <w:r>
        <w:rPr>
          <w:rFonts w:hint="eastAsia" w:ascii="仿宋_GB2312" w:eastAsia="仿宋_GB2312"/>
          <w:sz w:val="28"/>
          <w:szCs w:val="28"/>
        </w:rPr>
        <w:t>万元。主要原因：</w:t>
      </w:r>
      <w:r>
        <w:rPr>
          <w:rFonts w:hint="eastAsia" w:ascii="仿宋_GB2312" w:eastAsia="仿宋_GB2312"/>
          <w:sz w:val="28"/>
          <w:szCs w:val="28"/>
          <w:lang w:eastAsia="zh-CN"/>
        </w:rPr>
        <w:t>无此项支出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年度公务接待费主要用于</w:t>
      </w:r>
      <w:r>
        <w:rPr>
          <w:rFonts w:hint="eastAsia" w:ascii="仿宋_GB2312" w:eastAsia="仿宋_GB2312"/>
          <w:sz w:val="28"/>
          <w:szCs w:val="28"/>
          <w:lang w:eastAsia="zh-CN"/>
        </w:rPr>
        <w:t>：无此项支出</w:t>
      </w:r>
      <w:r>
        <w:rPr>
          <w:rFonts w:hint="eastAsia" w:ascii="仿宋_GB2312" w:eastAsia="仿宋_GB2312"/>
          <w:sz w:val="28"/>
          <w:szCs w:val="28"/>
        </w:rPr>
        <w:t>。公务接待</w:t>
      </w:r>
      <w:r>
        <w:rPr>
          <w:rFonts w:hint="eastAsia" w:ascii="仿宋_GB2312" w:eastAsia="仿宋_GB2312"/>
          <w:sz w:val="28"/>
          <w:szCs w:val="28"/>
          <w:lang w:eastAsia="zh-CN"/>
        </w:rPr>
        <w:t>0</w:t>
      </w:r>
      <w:r>
        <w:rPr>
          <w:rFonts w:hint="eastAsia" w:ascii="仿宋_GB2312" w:eastAsia="仿宋_GB2312"/>
          <w:sz w:val="28"/>
          <w:szCs w:val="28"/>
        </w:rPr>
        <w:t>批次，公务接待</w:t>
      </w:r>
      <w:r>
        <w:rPr>
          <w:rFonts w:hint="eastAsia" w:ascii="仿宋_GB2312" w:eastAsia="仿宋_GB2312"/>
          <w:sz w:val="28"/>
          <w:szCs w:val="28"/>
          <w:lang w:eastAsia="zh-CN"/>
        </w:rPr>
        <w:t>0</w:t>
      </w:r>
      <w:r>
        <w:rPr>
          <w:rFonts w:hint="eastAsia" w:ascii="仿宋_GB2312" w:eastAsia="仿宋_GB2312"/>
          <w:sz w:val="28"/>
          <w:szCs w:val="28"/>
        </w:rPr>
        <w:t>人次。</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0.91</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1.8</w:t>
      </w:r>
      <w:r>
        <w:rPr>
          <w:rFonts w:hint="eastAsia" w:ascii="仿宋_GB2312" w:eastAsia="仿宋_GB2312"/>
          <w:sz w:val="28"/>
          <w:szCs w:val="28"/>
        </w:rPr>
        <w:t>万元减少</w:t>
      </w:r>
      <w:r>
        <w:rPr>
          <w:rFonts w:hint="eastAsia" w:ascii="仿宋_GB2312" w:eastAsia="仿宋_GB2312"/>
          <w:sz w:val="28"/>
          <w:szCs w:val="28"/>
          <w:lang w:val="en-US" w:eastAsia="zh-CN"/>
        </w:rPr>
        <w:t>0.89</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万元，主要原因：</w:t>
      </w:r>
      <w:r>
        <w:rPr>
          <w:rFonts w:hint="eastAsia" w:ascii="仿宋_GB2312" w:eastAsia="仿宋_GB2312"/>
          <w:sz w:val="28"/>
          <w:szCs w:val="28"/>
          <w:lang w:eastAsia="zh-CN"/>
        </w:rPr>
        <w:t>无此项支出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0.91</w:t>
      </w:r>
      <w:r>
        <w:rPr>
          <w:rFonts w:hint="eastAsia" w:ascii="仿宋_GB2312" w:eastAsia="仿宋_GB2312"/>
          <w:sz w:val="28"/>
          <w:szCs w:val="28"/>
        </w:rPr>
        <w:t>万元，主要原因：厉行节约，倡导绿色出行，减少不必要的支出</w:t>
      </w:r>
      <w:r>
        <w:rPr>
          <w:rFonts w:hint="eastAsia" w:ascii="仿宋_GB2312" w:eastAsia="仿宋_GB2312"/>
          <w:sz w:val="28"/>
          <w:szCs w:val="28"/>
          <w:lang w:eastAsia="zh-CN"/>
        </w:rPr>
        <w:t>，主要用于加油、维修、车辆保险</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1</w:t>
      </w:r>
      <w:r>
        <w:rPr>
          <w:rFonts w:hint="eastAsia" w:ascii="仿宋_GB2312" w:eastAsia="仿宋_GB2312"/>
          <w:sz w:val="28"/>
          <w:szCs w:val="28"/>
        </w:rPr>
        <w:t>辆。</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hint="eastAsia" w:ascii="仿宋_GB2312" w:eastAsia="仿宋_GB2312"/>
          <w:sz w:val="28"/>
          <w:szCs w:val="28"/>
          <w:lang w:eastAsia="zh-CN"/>
        </w:rPr>
        <w:t>机关运行经费</w:t>
      </w:r>
      <w:r>
        <w:rPr>
          <w:rFonts w:hint="eastAsia" w:ascii="仿宋_GB2312" w:eastAsia="仿宋_GB2312"/>
          <w:sz w:val="28"/>
          <w:szCs w:val="28"/>
        </w:rPr>
        <w:t>支出合计</w:t>
      </w:r>
      <w:r>
        <w:rPr>
          <w:rFonts w:hint="eastAsia" w:ascii="仿宋_GB2312" w:eastAsia="仿宋_GB2312"/>
          <w:sz w:val="28"/>
          <w:szCs w:val="28"/>
          <w:lang w:val="en-US" w:eastAsia="zh-CN"/>
        </w:rPr>
        <w:t>0</w:t>
      </w:r>
      <w:r>
        <w:rPr>
          <w:rFonts w:hint="eastAsia" w:ascii="仿宋_GB2312" w:eastAsia="仿宋_GB2312"/>
          <w:sz w:val="28"/>
          <w:szCs w:val="28"/>
        </w:rPr>
        <w:t>万元，比上年增加（减少）</w:t>
      </w:r>
      <w:r>
        <w:rPr>
          <w:rFonts w:hint="eastAsia" w:ascii="仿宋_GB2312" w:eastAsia="仿宋_GB2312"/>
          <w:sz w:val="28"/>
          <w:szCs w:val="28"/>
          <w:lang w:val="en-US" w:eastAsia="zh-CN"/>
        </w:rPr>
        <w:t>0</w:t>
      </w:r>
      <w:r>
        <w:rPr>
          <w:rFonts w:hint="eastAsia" w:ascii="仿宋_GB2312" w:eastAsia="仿宋_GB2312"/>
          <w:sz w:val="28"/>
          <w:szCs w:val="28"/>
        </w:rPr>
        <w:t>万元，增加（减少）原因：</w:t>
      </w:r>
      <w:r>
        <w:rPr>
          <w:rFonts w:hint="eastAsia" w:ascii="仿宋_GB2312" w:eastAsia="仿宋_GB2312"/>
          <w:sz w:val="28"/>
          <w:szCs w:val="28"/>
          <w:lang w:eastAsia="zh-CN"/>
        </w:rPr>
        <w:t>不涉及</w:t>
      </w:r>
      <w:r>
        <w:rPr>
          <w:rFonts w:hint="eastAsia" w:ascii="仿宋_GB2312" w:eastAsia="仿宋_GB2312"/>
          <w:sz w:val="28"/>
          <w:szCs w:val="28"/>
        </w:rPr>
        <w:t>。</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0.81</w:t>
      </w:r>
      <w:r>
        <w:rPr>
          <w:rFonts w:hint="eastAsia" w:ascii="仿宋_GB2312" w:eastAsia="仿宋_GB2312"/>
          <w:sz w:val="28"/>
          <w:szCs w:val="28"/>
        </w:rPr>
        <w:t>万元，其中：政府采购货物支出</w:t>
      </w:r>
      <w:r>
        <w:rPr>
          <w:rFonts w:hint="eastAsia" w:ascii="仿宋_GB2312" w:eastAsia="仿宋_GB2312"/>
          <w:sz w:val="28"/>
          <w:szCs w:val="28"/>
          <w:lang w:val="en-US" w:eastAsia="zh-CN"/>
        </w:rPr>
        <w:t>0</w:t>
      </w:r>
      <w:r>
        <w:rPr>
          <w:rFonts w:hint="eastAsia" w:ascii="仿宋_GB2312" w:eastAsia="仿宋_GB2312"/>
          <w:sz w:val="28"/>
          <w:szCs w:val="28"/>
        </w:rPr>
        <w:t>万元，政府采购工程支出</w:t>
      </w:r>
      <w:r>
        <w:rPr>
          <w:rFonts w:hint="eastAsia" w:ascii="仿宋_GB2312" w:eastAsia="仿宋_GB2312"/>
          <w:sz w:val="28"/>
          <w:szCs w:val="28"/>
          <w:lang w:val="en-US" w:eastAsia="zh-CN"/>
        </w:rPr>
        <w:t>0</w:t>
      </w:r>
      <w:r>
        <w:rPr>
          <w:rFonts w:hint="eastAsia" w:ascii="仿宋_GB2312" w:eastAsia="仿宋_GB2312"/>
          <w:sz w:val="28"/>
          <w:szCs w:val="28"/>
        </w:rPr>
        <w:t>万元，政府采购服务支出</w:t>
      </w:r>
      <w:r>
        <w:rPr>
          <w:rFonts w:hint="eastAsia" w:ascii="仿宋_GB2312" w:eastAsia="仿宋_GB2312"/>
          <w:sz w:val="28"/>
          <w:szCs w:val="28"/>
          <w:lang w:val="en-US" w:eastAsia="zh-CN"/>
        </w:rPr>
        <w:t>0.81</w:t>
      </w:r>
      <w:r>
        <w:rPr>
          <w:rFonts w:hint="eastAsia" w:ascii="仿宋_GB2312" w:eastAsia="仿宋_GB2312"/>
          <w:sz w:val="28"/>
          <w:szCs w:val="28"/>
        </w:rPr>
        <w:t>万元。授予中小企业合同金额</w:t>
      </w:r>
      <w:r>
        <w:rPr>
          <w:rFonts w:ascii="仿宋_GB2312" w:eastAsia="仿宋_GB2312"/>
          <w:sz w:val="28"/>
          <w:szCs w:val="28"/>
        </w:rPr>
        <w:t>0.48</w:t>
      </w:r>
      <w:r>
        <w:rPr>
          <w:rFonts w:hint="eastAsia" w:ascii="仿宋_GB2312" w:eastAsia="仿宋_GB2312"/>
          <w:sz w:val="28"/>
          <w:szCs w:val="28"/>
        </w:rPr>
        <w:t>万元，占政府采购支出总额的</w:t>
      </w:r>
      <w:r>
        <w:rPr>
          <w:rFonts w:hint="eastAsia" w:ascii="仿宋_GB2312" w:eastAsia="仿宋_GB2312"/>
          <w:sz w:val="28"/>
          <w:szCs w:val="28"/>
          <w:lang w:eastAsia="zh-CN"/>
        </w:rPr>
        <w:t>59.45</w:t>
      </w:r>
      <w:r>
        <w:rPr>
          <w:rFonts w:hint="eastAsia" w:ascii="仿宋_GB2312" w:eastAsia="仿宋_GB2312"/>
          <w:sz w:val="28"/>
          <w:szCs w:val="28"/>
        </w:rPr>
        <w:t>%，其中：授予小微企业合同金额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ascii="仿宋_GB2312" w:eastAsia="仿宋_GB2312"/>
          <w:sz w:val="28"/>
          <w:szCs w:val="28"/>
        </w:rPr>
        <w:t>0</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12月31日，北京市大兴区残疾人就业服务中心</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1</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pStyle w:val="2"/>
        <w:ind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7.社会保障和就业支出（类）行政事业单位养老支出（款）事业单位离退休（项）：反映事业单位开支的离退休费</w:t>
      </w:r>
    </w:p>
    <w:p>
      <w:pPr>
        <w:pStyle w:val="3"/>
        <w:ind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8.社会保障和就业支出（类）行政事业单位养老支出（款）机关事业单位基本养老保险缴费支出（项）：反映机关事业单位实施养老保险制度由单位缴纳的基本养老保险费支出。</w:t>
      </w:r>
    </w:p>
    <w:p>
      <w:pPr>
        <w:ind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9.社会保障和就业支出（类）行政事业单位养老支出（款）机关事业单位职业年金缴费支出（项）：反映机关事业单位实施养老保险制度由单位实际缴纳的职业年金支出。</w:t>
      </w:r>
    </w:p>
    <w:p>
      <w:pPr>
        <w:pStyle w:val="2"/>
        <w:ind w:firstLine="560" w:firstLineChars="200"/>
        <w:rPr>
          <w:rFonts w:hint="default" w:eastAsia="仿宋_GB2312"/>
          <w:lang w:val="en-US" w:eastAsia="zh-CN"/>
        </w:rPr>
      </w:pPr>
      <w:r>
        <w:rPr>
          <w:rFonts w:hint="eastAsia" w:ascii="仿宋_GB2312" w:eastAsia="仿宋_GB2312"/>
          <w:sz w:val="28"/>
          <w:szCs w:val="28"/>
          <w:lang w:val="en-US" w:eastAsia="zh-CN"/>
        </w:rPr>
        <w:t>10.社会保障和就业支出（类）残疾人事业（款）残疾人就业（项）：反映残疾人联合会用于残疾人就业方面的支出。</w:t>
      </w:r>
    </w:p>
    <w:p>
      <w:pPr>
        <w:pStyle w:val="2"/>
        <w:ind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11.社会保障和就业支出（类）残疾人事业（款）其他残疾人事业支出（项）：反映其他用于残疾人事业方面的支出。</w:t>
      </w:r>
    </w:p>
    <w:p>
      <w:pPr>
        <w:pStyle w:val="3"/>
        <w:ind w:firstLine="560" w:firstLineChars="200"/>
        <w:rPr>
          <w:rFonts w:hint="default"/>
          <w:lang w:val="en-US" w:eastAsia="zh-CN"/>
        </w:rPr>
      </w:pPr>
      <w:r>
        <w:rPr>
          <w:rFonts w:hint="eastAsia" w:ascii="仿宋_GB2312" w:eastAsia="仿宋_GB2312"/>
          <w:sz w:val="28"/>
          <w:szCs w:val="28"/>
          <w:lang w:val="en-US" w:eastAsia="zh-CN"/>
        </w:rPr>
        <w:t>12.卫生健康支出（类）行政事业单位医疗（款）事业单位医疗（项）：反映财政部门安排的事业单位基本医疗保险缴费经费。</w:t>
      </w:r>
    </w:p>
    <w:p>
      <w:pPr>
        <w:pStyle w:val="3"/>
        <w:ind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13.卫生健康支出（类）行政事业单位医疗（款）公务员医疗补助（项）：反映财政部门安排的公务员医疗补助经费。</w:t>
      </w:r>
    </w:p>
    <w:p>
      <w:pPr>
        <w:ind w:firstLine="560" w:firstLineChars="200"/>
        <w:rPr>
          <w:rFonts w:hint="default"/>
          <w:lang w:val="en-US" w:eastAsia="zh-CN"/>
        </w:rPr>
      </w:pPr>
      <w:r>
        <w:rPr>
          <w:rFonts w:hint="eastAsia" w:ascii="仿宋_GB2312" w:eastAsia="仿宋_GB2312"/>
          <w:sz w:val="28"/>
          <w:szCs w:val="28"/>
          <w:lang w:val="en-US" w:eastAsia="zh-CN"/>
        </w:rPr>
        <w:t>14.住房保障支出（类）住房改革支出（款）购房补贴（项）：反映按房改政策规定、行政事业单位向符合条件职工发放的用于购买住房的补贴。</w:t>
      </w:r>
    </w:p>
    <w:p>
      <w:pPr>
        <w:jc w:val="both"/>
        <w:rPr>
          <w:rFonts w:hint="eastAsia" w:ascii="黑体" w:eastAsia="黑体"/>
          <w:sz w:val="32"/>
          <w:szCs w:val="32"/>
        </w:rPr>
      </w:pPr>
    </w:p>
    <w:p>
      <w:pPr>
        <w:tabs>
          <w:tab w:val="center" w:pos="6979"/>
        </w:tabs>
        <w:spacing w:line="380" w:lineRule="exact"/>
        <w:jc w:val="center"/>
        <w:rPr>
          <w:rFonts w:ascii="宋体" w:hAnsi="宋体" w:cs="宋体"/>
          <w:b/>
          <w:bCs/>
          <w:kern w:val="0"/>
          <w:sz w:val="28"/>
          <w:szCs w:val="28"/>
        </w:rPr>
      </w:pPr>
    </w:p>
    <w:p>
      <w:pPr>
        <w:tabs>
          <w:tab w:val="center" w:pos="6979"/>
        </w:tabs>
        <w:spacing w:line="380" w:lineRule="exact"/>
        <w:jc w:val="center"/>
        <w:rPr>
          <w:rFonts w:ascii="宋体" w:hAnsi="宋体" w:cs="宋体"/>
          <w:b/>
          <w:bCs/>
          <w:kern w:val="0"/>
          <w:sz w:val="28"/>
          <w:szCs w:val="28"/>
        </w:rPr>
      </w:pPr>
    </w:p>
    <w:p>
      <w:pPr>
        <w:jc w:val="both"/>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bookmarkStart w:id="0" w:name="_GoBack"/>
      <w:bookmarkEnd w:id="0"/>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numPr>
          <w:ilvl w:val="0"/>
          <w:numId w:val="1"/>
        </w:numPr>
        <w:ind w:firstLine="560" w:firstLineChars="200"/>
        <w:rPr>
          <w:rFonts w:ascii="黑体" w:eastAsia="黑体"/>
          <w:sz w:val="28"/>
          <w:szCs w:val="28"/>
          <w:highlight w:val="none"/>
        </w:rPr>
      </w:pPr>
      <w:r>
        <w:rPr>
          <w:rFonts w:hint="eastAsia" w:ascii="黑体" w:eastAsia="黑体"/>
          <w:sz w:val="28"/>
          <w:szCs w:val="28"/>
          <w:highlight w:val="none"/>
        </w:rPr>
        <w:t>项目</w:t>
      </w:r>
      <w:r>
        <w:rPr>
          <w:rFonts w:ascii="黑体" w:eastAsia="黑体"/>
          <w:sz w:val="28"/>
          <w:szCs w:val="28"/>
          <w:highlight w:val="none"/>
        </w:rPr>
        <w:t>支出绩效自评表</w:t>
      </w:r>
      <w:r>
        <w:rPr>
          <w:rFonts w:hint="eastAsia" w:ascii="黑体" w:eastAsia="黑体"/>
          <w:sz w:val="28"/>
          <w:szCs w:val="28"/>
          <w:highlight w:val="none"/>
          <w:lang w:eastAsia="zh-CN"/>
        </w:rPr>
        <w:t>（详见附件）</w:t>
      </w:r>
    </w:p>
    <w:p>
      <w:pPr>
        <w:spacing w:line="480" w:lineRule="exact"/>
        <w:rPr>
          <w:rFonts w:hint="eastAsia" w:ascii="仿宋_GB2312" w:hAnsi="仿宋_GB2312" w:eastAsia="仿宋_GB2312" w:cs="仿宋_GB2312"/>
          <w:sz w:val="32"/>
          <w:szCs w:val="32"/>
        </w:rPr>
      </w:pPr>
    </w:p>
    <w:p>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5"/>
      </w:rPr>
    </w:pPr>
    <w:r>
      <w:fldChar w:fldCharType="begin"/>
    </w:r>
    <w:r>
      <w:rPr>
        <w:rStyle w:val="15"/>
      </w:rPr>
      <w:instrText xml:space="preserve">PAGE  </w:instrText>
    </w:r>
    <w:r>
      <w:fldChar w:fldCharType="separate"/>
    </w:r>
    <w:r>
      <w:rPr>
        <w:rStyle w:val="15"/>
      </w:rPr>
      <w:t>3</w:t>
    </w:r>
    <w: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5"/>
      </w:rPr>
    </w:pPr>
    <w:r>
      <w:fldChar w:fldCharType="begin"/>
    </w:r>
    <w:r>
      <w:rPr>
        <w:rStyle w:val="15"/>
      </w:rPr>
      <w:instrText xml:space="preserve">PAGE  </w:instrText>
    </w:r>
    <w:r>
      <w:fldChar w:fldCharType="separate"/>
    </w:r>
    <w:r>
      <w:rPr>
        <w:rStyle w:val="15"/>
      </w:rPr>
      <w:t>5</w: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5"/>
      </w:rPr>
    </w:pPr>
    <w:r>
      <w:fldChar w:fldCharType="begin"/>
    </w:r>
    <w:r>
      <w:rPr>
        <w:rStyle w:val="15"/>
      </w:rPr>
      <w:instrText xml:space="preserve">PAGE  </w:instrText>
    </w:r>
    <w:r>
      <w:fldChar w:fldCharType="separate"/>
    </w:r>
    <w:r>
      <w:rPr>
        <w:rStyle w:val="15"/>
      </w:rPr>
      <w:t>15</w:t>
    </w:r>
    <w:r>
      <w:fldChar w:fldCharType="end"/>
    </w:r>
  </w:p>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7E84BE"/>
    <w:multiLevelType w:val="singleLevel"/>
    <w:tmpl w:val="8D7E84B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F542F2C"/>
    <w:rsid w:val="0F8E2C57"/>
    <w:rsid w:val="1059665E"/>
    <w:rsid w:val="10AC13BA"/>
    <w:rsid w:val="145A6C1B"/>
    <w:rsid w:val="14B73493"/>
    <w:rsid w:val="167A2FF9"/>
    <w:rsid w:val="1764587C"/>
    <w:rsid w:val="18581C69"/>
    <w:rsid w:val="1AEC0734"/>
    <w:rsid w:val="1DEF20B0"/>
    <w:rsid w:val="1FF7AB17"/>
    <w:rsid w:val="214243FA"/>
    <w:rsid w:val="21AD613C"/>
    <w:rsid w:val="22467189"/>
    <w:rsid w:val="25113EFF"/>
    <w:rsid w:val="257A14F5"/>
    <w:rsid w:val="27196C26"/>
    <w:rsid w:val="29EF086F"/>
    <w:rsid w:val="2BC34C59"/>
    <w:rsid w:val="2EFFE297"/>
    <w:rsid w:val="301437CA"/>
    <w:rsid w:val="349D1F0A"/>
    <w:rsid w:val="34DD0473"/>
    <w:rsid w:val="3A8E35DC"/>
    <w:rsid w:val="3C684897"/>
    <w:rsid w:val="433E495C"/>
    <w:rsid w:val="489F2FD7"/>
    <w:rsid w:val="4AC27CB3"/>
    <w:rsid w:val="4BF72BEF"/>
    <w:rsid w:val="4FA90297"/>
    <w:rsid w:val="4FC41A43"/>
    <w:rsid w:val="51DB3C59"/>
    <w:rsid w:val="550C0952"/>
    <w:rsid w:val="55762E42"/>
    <w:rsid w:val="57A7B272"/>
    <w:rsid w:val="58470068"/>
    <w:rsid w:val="586428C7"/>
    <w:rsid w:val="58747CAC"/>
    <w:rsid w:val="5A1720F9"/>
    <w:rsid w:val="5B9C37C2"/>
    <w:rsid w:val="5BA7C654"/>
    <w:rsid w:val="5DF716AE"/>
    <w:rsid w:val="5F9F507E"/>
    <w:rsid w:val="60A54109"/>
    <w:rsid w:val="61D01CDF"/>
    <w:rsid w:val="64C0607C"/>
    <w:rsid w:val="65756C86"/>
    <w:rsid w:val="674D385B"/>
    <w:rsid w:val="676F09E1"/>
    <w:rsid w:val="71691990"/>
    <w:rsid w:val="71793A80"/>
    <w:rsid w:val="7357290B"/>
    <w:rsid w:val="756E3DEA"/>
    <w:rsid w:val="76FB1693"/>
    <w:rsid w:val="798524E4"/>
    <w:rsid w:val="7A7F1C49"/>
    <w:rsid w:val="7B5B7AE6"/>
    <w:rsid w:val="7B7B6628"/>
    <w:rsid w:val="7BA7071E"/>
    <w:rsid w:val="7BDF6DA8"/>
    <w:rsid w:val="7C7EDC1A"/>
    <w:rsid w:val="7CCED98D"/>
    <w:rsid w:val="7D08410F"/>
    <w:rsid w:val="7DB96DED"/>
    <w:rsid w:val="7DD3AD81"/>
    <w:rsid w:val="7DFFF77E"/>
    <w:rsid w:val="7F53A862"/>
    <w:rsid w:val="7F7FE70F"/>
    <w:rsid w:val="7FDF365A"/>
    <w:rsid w:val="7FEC8BC6"/>
    <w:rsid w:val="7FFF772F"/>
    <w:rsid w:val="95F35EF6"/>
    <w:rsid w:val="9BFFD860"/>
    <w:rsid w:val="A77B4E4D"/>
    <w:rsid w:val="AC5F73DE"/>
    <w:rsid w:val="B5DDD2C8"/>
    <w:rsid w:val="B9DFABD9"/>
    <w:rsid w:val="BC0D83FC"/>
    <w:rsid w:val="BF3BDEFB"/>
    <w:rsid w:val="BFB7A454"/>
    <w:rsid w:val="C75F6086"/>
    <w:rsid w:val="C7F7ED2D"/>
    <w:rsid w:val="CFAF854E"/>
    <w:rsid w:val="D8D7928E"/>
    <w:rsid w:val="D8FE3136"/>
    <w:rsid w:val="DDDE60B7"/>
    <w:rsid w:val="DE9F6A22"/>
    <w:rsid w:val="DF4FCE6A"/>
    <w:rsid w:val="DFD6CE7C"/>
    <w:rsid w:val="DFE93440"/>
    <w:rsid w:val="DFEF5C84"/>
    <w:rsid w:val="E4FED278"/>
    <w:rsid w:val="EDAA365C"/>
    <w:rsid w:val="EDADFC12"/>
    <w:rsid w:val="F2FD229B"/>
    <w:rsid w:val="F65F79E2"/>
    <w:rsid w:val="F776A00A"/>
    <w:rsid w:val="F7F709E9"/>
    <w:rsid w:val="F7FF3690"/>
    <w:rsid w:val="F9BD3900"/>
    <w:rsid w:val="FBF76749"/>
    <w:rsid w:val="FC8B9876"/>
    <w:rsid w:val="FCBFBAB5"/>
    <w:rsid w:val="FEDFF218"/>
    <w:rsid w:val="FEDFFFFF"/>
    <w:rsid w:val="FFBF8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3">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3"/>
    <w:unhideWhenUsed/>
    <w:qFormat/>
    <w:uiPriority w:val="99"/>
    <w:pPr>
      <w:widowControl w:val="0"/>
      <w:spacing w:after="120"/>
      <w:jc w:val="both"/>
    </w:pPr>
    <w:rPr>
      <w:rFonts w:ascii="Calibri" w:hAnsi="Calibri" w:eastAsia="宋体" w:cs="Times New Roman"/>
      <w:kern w:val="2"/>
      <w:sz w:val="21"/>
      <w:szCs w:val="24"/>
      <w:lang w:val="en-US" w:eastAsia="zh-CN" w:bidi="ar-SA"/>
    </w:rPr>
  </w:style>
  <w:style w:type="paragraph" w:customStyle="1" w:styleId="3">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styleId="5">
    <w:name w:val="Normal Indent"/>
    <w:basedOn w:val="1"/>
    <w:qFormat/>
    <w:uiPriority w:val="0"/>
    <w:pPr>
      <w:ind w:firstLine="200" w:firstLineChars="200"/>
    </w:pPr>
  </w:style>
  <w:style w:type="paragraph" w:styleId="6">
    <w:name w:val="Body Text Indent"/>
    <w:basedOn w:val="1"/>
    <w:qFormat/>
    <w:uiPriority w:val="0"/>
    <w:pPr>
      <w:ind w:firstLine="645"/>
    </w:pPr>
    <w:rPr>
      <w:rFonts w:ascii="仿宋_GB2312" w:hAnsi="Calibri" w:eastAsia="仿宋_GB2312"/>
      <w:sz w:val="32"/>
      <w:szCs w:val="32"/>
    </w:rPr>
  </w:style>
  <w:style w:type="paragraph" w:styleId="7">
    <w:name w:val="Date"/>
    <w:basedOn w:val="1"/>
    <w:next w:val="1"/>
    <w:qFormat/>
    <w:uiPriority w:val="0"/>
    <w:pPr>
      <w:ind w:left="100" w:leftChars="2500"/>
    </w:pPr>
  </w:style>
  <w:style w:type="paragraph" w:styleId="8">
    <w:name w:val="Balloon Text"/>
    <w:basedOn w:val="1"/>
    <w:semiHidden/>
    <w:qFormat/>
    <w:uiPriority w:val="0"/>
    <w:rPr>
      <w:sz w:val="18"/>
      <w:szCs w:val="18"/>
    </w:rPr>
  </w:style>
  <w:style w:type="paragraph" w:styleId="9">
    <w:name w:val="footer"/>
    <w:basedOn w:val="1"/>
    <w:link w:val="16"/>
    <w:qFormat/>
    <w:uiPriority w:val="0"/>
    <w:pPr>
      <w:tabs>
        <w:tab w:val="center" w:pos="4153"/>
        <w:tab w:val="right" w:pos="8306"/>
      </w:tabs>
      <w:snapToGrid w:val="0"/>
      <w:jc w:val="left"/>
    </w:pPr>
    <w:rPr>
      <w:sz w:val="18"/>
      <w:szCs w:val="18"/>
    </w:rPr>
  </w:style>
  <w:style w:type="paragraph" w:styleId="10">
    <w:name w:val="header"/>
    <w:basedOn w:val="1"/>
    <w:link w:val="17"/>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1">
    <w:name w:val="Normal (Web)"/>
    <w:basedOn w:val="1"/>
    <w:unhideWhenUsed/>
    <w:qFormat/>
    <w:uiPriority w:val="0"/>
    <w:pPr>
      <w:spacing w:before="100" w:beforeAutospacing="1" w:after="100" w:afterAutospacing="1"/>
      <w:ind w:right="238"/>
      <w:jc w:val="left"/>
    </w:pPr>
    <w:rPr>
      <w:b/>
      <w:kern w:val="0"/>
      <w:sz w:val="24"/>
      <w:szCs w:val="20"/>
    </w:rPr>
  </w:style>
  <w:style w:type="character" w:styleId="14">
    <w:name w:val="Strong"/>
    <w:qFormat/>
    <w:uiPriority w:val="0"/>
    <w:rPr>
      <w:b/>
    </w:rPr>
  </w:style>
  <w:style w:type="character" w:styleId="15">
    <w:name w:val="page number"/>
    <w:qFormat/>
    <w:uiPriority w:val="0"/>
  </w:style>
  <w:style w:type="character" w:customStyle="1" w:styleId="16">
    <w:name w:val="页脚 Char"/>
    <w:link w:val="9"/>
    <w:qFormat/>
    <w:uiPriority w:val="0"/>
    <w:rPr>
      <w:rFonts w:eastAsia="宋体"/>
      <w:kern w:val="2"/>
      <w:sz w:val="18"/>
      <w:szCs w:val="18"/>
      <w:lang w:val="en-US" w:eastAsia="zh-CN" w:bidi="ar-SA"/>
    </w:rPr>
  </w:style>
  <w:style w:type="character" w:customStyle="1" w:styleId="17">
    <w:name w:val="页眉 Char"/>
    <w:link w:val="10"/>
    <w:qFormat/>
    <w:uiPriority w:val="0"/>
    <w:rPr>
      <w:rFonts w:ascii="Calibri" w:hAnsi="Calibri" w:eastAsia="宋体"/>
      <w:kern w:val="2"/>
      <w:sz w:val="18"/>
      <w:szCs w:val="18"/>
      <w:lang w:val="en-US" w:eastAsia="zh-CN" w:bidi="ar-SA"/>
    </w:rPr>
  </w:style>
  <w:style w:type="paragraph" w:customStyle="1" w:styleId="18">
    <w:name w:val="Char Char Char Char Char Char Char"/>
    <w:basedOn w:val="1"/>
    <w:qFormat/>
    <w:uiPriority w:val="0"/>
    <w:rPr>
      <w:rFonts w:ascii="Tahoma" w:hAnsi="Tahoma"/>
      <w:sz w:val="24"/>
      <w:szCs w:val="20"/>
    </w:rPr>
  </w:style>
  <w:style w:type="paragraph" w:customStyle="1" w:styleId="19">
    <w:name w:val="Char1 Char Char Char"/>
    <w:basedOn w:val="1"/>
    <w:qFormat/>
    <w:uiPriority w:val="0"/>
    <w:pPr>
      <w:widowControl/>
      <w:spacing w:after="160" w:line="240" w:lineRule="exact"/>
      <w:jc w:val="left"/>
    </w:pPr>
    <w:rPr>
      <w:szCs w:val="20"/>
    </w:rPr>
  </w:style>
  <w:style w:type="paragraph" w:customStyle="1" w:styleId="20">
    <w:name w:val="Char"/>
    <w:basedOn w:val="1"/>
    <w:qFormat/>
    <w:uiPriority w:val="0"/>
    <w:rPr>
      <w:rFonts w:ascii="Tahoma" w:hAnsi="Tahoma"/>
      <w:sz w:val="24"/>
      <w:szCs w:val="20"/>
    </w:rPr>
  </w:style>
  <w:style w:type="paragraph" w:customStyle="1" w:styleId="21">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380.37</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376.36</c:v>
                </c:pt>
                <c:pt idx="1">
                  <c:v>35.51</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268</Words>
  <Characters>286</Characters>
  <Lines>44</Lines>
  <Paragraphs>12</Paragraphs>
  <TotalTime>6</TotalTime>
  <ScaleCrop>false</ScaleCrop>
  <LinksUpToDate>false</LinksUpToDate>
  <CharactersWithSpaces>298</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2017-07-13T07:16:00Z</dcterms:created>
  <dc:creator>常程</dc:creator>
  <cp:lastModifiedBy>Administrator</cp:lastModifiedBy>
  <cp:lastPrinted>2020-08-09T03:39:00Z</cp:lastPrinted>
  <dcterms:modified xsi:type="dcterms:W3CDTF">2025-09-23T00:58:46Z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A7F78878FB63AC2F75B4B7682BD79272</vt:lpwstr>
  </property>
  <property fmtid="{D5CDD505-2E9C-101B-9397-08002B2CF9AE}" pid="4" name="KSOTemplateDocerSaveRecord">
    <vt:lpwstr>eyJoZGlkIjoiMjQwNjQzNTg4ZDE0ZTBiOGFjNjE4NDNkMzM5NWRjMzIiLCJ1c2VySWQiOiI4OTI4ODkxNzIifQ==</vt:lpwstr>
  </property>
</Properties>
</file>