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4"/>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spacing w:line="620" w:lineRule="exact"/>
        <w:ind w:left="1360"/>
        <w:rPr>
          <w:rFonts w:hint="eastAsia" w:ascii="楷体" w:hAnsi="楷体" w:eastAsia="楷体" w:cs="楷体"/>
          <w:color w:val="000000"/>
          <w:sz w:val="28"/>
          <w:szCs w:val="28"/>
        </w:rPr>
      </w:pPr>
      <w:r>
        <w:rPr>
          <w:rFonts w:hint="eastAsia" w:ascii="楷体" w:hAnsi="楷体" w:eastAsia="楷体" w:cs="楷体"/>
          <w:color w:val="000000"/>
          <w:sz w:val="28"/>
          <w:szCs w:val="28"/>
        </w:rPr>
        <w:t>（一）本部门职责</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1、密切联系残疾人，听取残疾人意见，反映残疾人需求，全心全意为残疾人服务；</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2、团结教育残疾人遵守法律，履行应尽义务，发扬乐观进取精神，自尊、自信、自强、自立，为现代化建设贡献力量；</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3、沟通政府、社会与残疾人之间的联系，宣传残疾人事业，动员社会力量理解、尊重、关心、帮助残疾人；</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4、开展和促进残疾人康复、教育、劳动就业、文化生活、福利、社会服务和残疾人预防工作，改善残疾人参与社会生活的环境和条件；</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5、协助政府研究、制定和实施残疾人事业的法规、政策、发展规划，发挥综合、协调、咨询、服务作用；</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6、对全区的残疾人工作进行管理和指导，管理和发放“中华人民共和国残疾人证”；</w:t>
      </w:r>
    </w:p>
    <w:p>
      <w:pPr>
        <w:spacing w:line="560" w:lineRule="exact"/>
        <w:ind w:left="1360"/>
        <w:rPr>
          <w:rFonts w:ascii="仿宋_GB2312" w:eastAsia="仿宋_GB2312"/>
          <w:color w:val="000000"/>
          <w:sz w:val="28"/>
          <w:szCs w:val="28"/>
        </w:rPr>
      </w:pPr>
      <w:r>
        <w:rPr>
          <w:rFonts w:hint="eastAsia" w:ascii="仿宋_GB2312" w:eastAsia="仿宋_GB2312"/>
          <w:color w:val="000000"/>
          <w:sz w:val="28"/>
          <w:szCs w:val="28"/>
        </w:rPr>
        <w:t>7、本部门无行政事业性收费项目。</w:t>
      </w:r>
    </w:p>
    <w:p>
      <w:pPr>
        <w:spacing w:line="560" w:lineRule="exact"/>
        <w:ind w:firstLine="1260" w:firstLineChars="450"/>
        <w:rPr>
          <w:rFonts w:hint="eastAsia" w:ascii="楷体" w:hAnsi="楷体" w:eastAsia="楷体" w:cs="楷体"/>
          <w:color w:val="000000"/>
          <w:sz w:val="28"/>
          <w:szCs w:val="28"/>
        </w:rPr>
      </w:pPr>
      <w:r>
        <w:rPr>
          <w:rFonts w:hint="eastAsia" w:ascii="楷体" w:hAnsi="楷体" w:eastAsia="楷体" w:cs="楷体"/>
          <w:color w:val="000000"/>
          <w:sz w:val="28"/>
          <w:szCs w:val="28"/>
        </w:rPr>
        <w:t>（二）机构设置情况</w:t>
      </w:r>
    </w:p>
    <w:p>
      <w:pPr>
        <w:spacing w:line="560" w:lineRule="exact"/>
        <w:ind w:firstLine="1260" w:firstLineChars="450"/>
        <w:rPr>
          <w:rFonts w:ascii="仿宋_GB2312" w:eastAsia="仿宋_GB2312"/>
          <w:color w:val="000000"/>
          <w:sz w:val="28"/>
          <w:szCs w:val="28"/>
        </w:rPr>
      </w:pPr>
      <w:r>
        <w:rPr>
          <w:rFonts w:hint="eastAsia" w:ascii="仿宋_GB2312" w:eastAsia="仿宋_GB2312"/>
          <w:color w:val="000000"/>
          <w:sz w:val="28"/>
          <w:szCs w:val="28"/>
          <w:lang w:eastAsia="zh-CN"/>
        </w:rPr>
        <w:t>大兴区残疾人联合会</w:t>
      </w:r>
      <w:r>
        <w:rPr>
          <w:rFonts w:hint="eastAsia" w:ascii="仿宋_GB2312" w:eastAsia="仿宋_GB2312"/>
          <w:color w:val="000000"/>
          <w:sz w:val="28"/>
          <w:szCs w:val="28"/>
        </w:rPr>
        <w:t>本级内部机构设置:办公室、综合业务部</w:t>
      </w:r>
      <w:r>
        <w:rPr>
          <w:rFonts w:hint="eastAsia" w:ascii="仿宋_GB2312" w:eastAsia="仿宋_GB2312"/>
          <w:color w:val="000000"/>
          <w:sz w:val="28"/>
          <w:szCs w:val="28"/>
          <w:lang w:eastAsia="zh-CN"/>
        </w:rPr>
        <w:t>。</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11336.1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824.91万元，增长7.85%。</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11163.36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773.15万元，增长7.44%</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11157.56</w:t>
      </w:r>
      <w:r>
        <w:rPr>
          <w:rFonts w:hint="eastAsia" w:ascii="仿宋_GB2312" w:eastAsia="仿宋_GB2312"/>
          <w:sz w:val="28"/>
          <w:szCs w:val="28"/>
        </w:rPr>
        <w:t>万元，占收入合计的</w:t>
      </w:r>
      <w:r>
        <w:rPr>
          <w:rFonts w:hint="eastAsia" w:ascii="仿宋_GB2312" w:eastAsia="仿宋_GB2312"/>
          <w:sz w:val="28"/>
          <w:szCs w:val="28"/>
          <w:lang w:eastAsia="zh-CN"/>
        </w:rPr>
        <w:t>99.95%。</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rPr>
        <w:t>11052.56万元，占收入合计的</w:t>
      </w:r>
      <w:r>
        <w:rPr>
          <w:rFonts w:hint="eastAsia" w:ascii="仿宋_GB2312" w:eastAsia="仿宋_GB2312"/>
          <w:sz w:val="28"/>
          <w:szCs w:val="28"/>
          <w:lang w:val="en-US" w:eastAsia="zh-CN"/>
        </w:rPr>
        <w:t>99</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hint="eastAsia" w:ascii="仿宋_GB2312" w:eastAsia="仿宋_GB2312"/>
          <w:sz w:val="28"/>
          <w:szCs w:val="28"/>
          <w:lang w:val="en-US" w:eastAsia="zh-CN"/>
        </w:rPr>
        <w:t>105</w:t>
      </w:r>
      <w:r>
        <w:rPr>
          <w:rFonts w:hint="eastAsia" w:ascii="仿宋_GB2312" w:eastAsia="仿宋_GB2312"/>
          <w:sz w:val="28"/>
          <w:szCs w:val="28"/>
        </w:rPr>
        <w:t>万元，占收入合计的0.94%</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5.8</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0.05</w:t>
      </w:r>
      <w:r>
        <w:rPr>
          <w:rFonts w:hint="eastAsia" w:ascii="仿宋_GB2312" w:eastAsia="仿宋_GB2312"/>
          <w:sz w:val="28"/>
          <w:szCs w:val="28"/>
          <w:highlight w:val="none"/>
        </w:rPr>
        <w:t>%。</w:t>
      </w:r>
    </w:p>
    <w:p>
      <w:pPr>
        <w:pStyle w:val="4"/>
        <w:ind w:firstLine="0"/>
        <w:jc w:val="center"/>
      </w:pPr>
      <w:r>
        <w:rPr>
          <w:rFonts w:hint="eastAsia" w:ascii="仿宋_GB2312" w:eastAsia="仿宋_GB2312"/>
          <w:color w:val="000000"/>
          <w:sz w:val="32"/>
          <w:szCs w:val="32"/>
          <w:highlight w:val="none"/>
          <w:lang w:val="en-US" w:eastAsia="zh-CN"/>
        </w:rPr>
        <w:t>图1：收入决算</w:t>
      </w:r>
    </w:p>
    <w:p>
      <w:pPr>
        <w:pStyle w:val="5"/>
        <w:ind w:firstLine="420"/>
        <w:jc w:val="center"/>
      </w:pPr>
      <w:r>
        <w:drawing>
          <wp:inline distT="0" distB="0" distL="0" distR="0">
            <wp:extent cx="3854450" cy="1868805"/>
            <wp:effectExtent l="4445" t="4445" r="8255" b="1270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11213.7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）XX.XX</w:t>
      </w:r>
      <w:r>
        <w:rPr>
          <w:rFonts w:hint="eastAsia" w:ascii="仿宋_GB2312" w:eastAsia="仿宋_GB2312"/>
          <w:sz w:val="28"/>
          <w:szCs w:val="28"/>
        </w:rPr>
        <w:t>万元，增长（下降</w:t>
      </w:r>
      <w:r>
        <w:rPr>
          <w:rFonts w:ascii="仿宋_GB2312" w:eastAsia="仿宋_GB2312"/>
          <w:sz w:val="28"/>
          <w:szCs w:val="28"/>
        </w:rPr>
        <w:t>）XX.XX</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685.77</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6.12</w:t>
      </w:r>
      <w:r>
        <w:rPr>
          <w:rFonts w:hint="eastAsia" w:ascii="仿宋_GB2312" w:eastAsia="仿宋_GB2312"/>
          <w:sz w:val="28"/>
          <w:szCs w:val="28"/>
          <w:highlight w:val="none"/>
        </w:rPr>
        <w:t>%；项目支出</w:t>
      </w:r>
      <w:r>
        <w:rPr>
          <w:rFonts w:ascii="仿宋_GB2312" w:eastAsia="仿宋_GB2312"/>
          <w:sz w:val="28"/>
          <w:szCs w:val="28"/>
          <w:highlight w:val="none"/>
        </w:rPr>
        <w:t>10527.93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93.88</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pStyle w:val="4"/>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11210.06</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822.76万元，增长7.92%。主要原因：部分政策类项目支出增加及2024年新增一次性项目残疾人职康中心大楼改造项目。</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11105.06</w:t>
      </w:r>
      <w:r>
        <w:rPr>
          <w:rFonts w:hint="eastAsia" w:ascii="仿宋_GB2312" w:eastAsia="仿宋_GB2312"/>
          <w:sz w:val="28"/>
          <w:szCs w:val="28"/>
        </w:rPr>
        <w:t>万元，主要用于以下方面（按大类）：社会保障和就业支出11004.73万元，占本年财政拨款支出</w:t>
      </w:r>
      <w:r>
        <w:rPr>
          <w:rFonts w:hint="eastAsia" w:ascii="仿宋_GB2312" w:eastAsia="仿宋_GB2312"/>
          <w:sz w:val="28"/>
          <w:szCs w:val="28"/>
          <w:lang w:val="en-US" w:eastAsia="zh-CN"/>
        </w:rPr>
        <w:t>99.1</w:t>
      </w:r>
      <w:r>
        <w:rPr>
          <w:rFonts w:hint="eastAsia" w:ascii="仿宋_GB2312" w:eastAsia="仿宋_GB2312"/>
          <w:sz w:val="28"/>
          <w:szCs w:val="28"/>
        </w:rPr>
        <w:t>%； 卫生健康支出47.83万元，占本年财政拨款支出0.43%</w:t>
      </w:r>
      <w:r>
        <w:rPr>
          <w:rFonts w:hint="eastAsia" w:ascii="仿宋_GB2312" w:eastAsia="仿宋_GB2312"/>
          <w:sz w:val="28"/>
          <w:szCs w:val="28"/>
          <w:lang w:val="en-US" w:eastAsia="zh-CN"/>
        </w:rPr>
        <w:t>；</w:t>
      </w:r>
      <w:r>
        <w:rPr>
          <w:rFonts w:hint="eastAsia" w:ascii="仿宋_GB2312" w:eastAsia="仿宋_GB2312"/>
          <w:sz w:val="28"/>
          <w:szCs w:val="28"/>
        </w:rPr>
        <w:t>住房保障支出52.5万元，占本年财政拨款支出0.47%。</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12121.41</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11004.73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90.78</w:t>
      </w:r>
      <w:r>
        <w:rPr>
          <w:rFonts w:hint="eastAsia" w:ascii="仿宋_GB2312" w:eastAsia="仿宋_GB2312"/>
          <w:sz w:val="28"/>
          <w:szCs w:val="28"/>
        </w:rPr>
        <w:t>%。</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66.78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90.26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135.16</w:t>
      </w:r>
      <w:r>
        <w:rPr>
          <w:rFonts w:hint="eastAsia" w:ascii="仿宋_GB2312" w:eastAsia="仿宋_GB2312"/>
          <w:sz w:val="28"/>
          <w:szCs w:val="28"/>
        </w:rPr>
        <w:t>%。主要原因：社保基数调整及人员变动。</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“残疾人事业”（款）202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12054.74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10914.46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90.54</w:t>
      </w:r>
      <w:r>
        <w:rPr>
          <w:rFonts w:hint="eastAsia" w:ascii="仿宋_GB2312" w:eastAsia="仿宋_GB2312"/>
          <w:sz w:val="28"/>
          <w:szCs w:val="28"/>
        </w:rPr>
        <w:t>%。主要原因：2023年底市级转移支付有结余并入2024年预算。</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45.41</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47.83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105.33</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45.41</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47.83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105.33</w:t>
      </w:r>
      <w:r>
        <w:rPr>
          <w:rFonts w:hint="eastAsia" w:ascii="仿宋_GB2312" w:eastAsia="仿宋_GB2312"/>
          <w:sz w:val="28"/>
          <w:szCs w:val="28"/>
        </w:rPr>
        <w:t>。主要原因：医疗保险基数调整及人员变动。</w:t>
      </w:r>
    </w:p>
    <w:p>
      <w:pPr>
        <w:spacing w:line="580" w:lineRule="exact"/>
        <w:ind w:firstLine="560" w:firstLineChars="200"/>
        <w:rPr>
          <w:rFonts w:hint="eastAsia" w:ascii="仿宋_GB2312" w:eastAsia="仿宋_GB2312"/>
          <w:sz w:val="28"/>
          <w:szCs w:val="28"/>
        </w:rPr>
      </w:pPr>
      <w:r>
        <w:rPr>
          <w:rFonts w:hint="eastAsia" w:ascii="仿宋_GB2312" w:hAnsi="Times New Roman" w:eastAsia="仿宋_GB2312" w:cs="Times New Roman"/>
          <w:b w:val="0"/>
          <w:bCs w:val="0"/>
          <w:kern w:val="2"/>
          <w:sz w:val="28"/>
          <w:szCs w:val="28"/>
          <w:lang w:val="en-US" w:eastAsia="zh-CN" w:bidi="ar-SA"/>
        </w:rPr>
        <w:t>3、</w:t>
      </w:r>
      <w:r>
        <w:rPr>
          <w:rFonts w:hint="eastAsia" w:ascii="仿宋_GB2312" w:eastAsia="仿宋_GB2312"/>
          <w:sz w:val="28"/>
          <w:szCs w:val="28"/>
        </w:rPr>
        <w:t>“住房保障支出”(类)202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52.5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“住房改革支出”（款）202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52.5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%。主要原因：补发以前年度住房补贴。</w:t>
      </w:r>
    </w:p>
    <w:p>
      <w:pPr>
        <w:pStyle w:val="4"/>
        <w:ind w:firstLine="560" w:firstLineChars="200"/>
        <w:rPr>
          <w:rFonts w:hint="eastAsia" w:ascii="仿宋_GB2312" w:hAnsi="Times New Roman" w:eastAsia="仿宋_GB2312" w:cs="Times New Roman"/>
          <w:b w:val="0"/>
          <w:bCs w:val="0"/>
          <w:kern w:val="2"/>
          <w:sz w:val="28"/>
          <w:szCs w:val="28"/>
          <w:lang w:val="en-US" w:eastAsia="zh-CN" w:bidi="ar-SA"/>
        </w:rPr>
      </w:pP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105</w:t>
      </w:r>
      <w:r>
        <w:rPr>
          <w:rFonts w:hint="eastAsia" w:ascii="仿宋_GB2312" w:eastAsia="仿宋_GB2312"/>
          <w:sz w:val="28"/>
          <w:szCs w:val="28"/>
        </w:rPr>
        <w:t>万元，主要用于以下方面（按大类）：</w:t>
      </w:r>
      <w:r>
        <w:rPr>
          <w:rFonts w:hint="eastAsia" w:ascii="仿宋_GB2312" w:eastAsia="仿宋_GB2312"/>
          <w:sz w:val="28"/>
          <w:szCs w:val="28"/>
          <w:lang w:eastAsia="zh-CN"/>
        </w:rPr>
        <w:t>其他</w:t>
      </w:r>
      <w:r>
        <w:rPr>
          <w:rFonts w:hint="eastAsia" w:ascii="仿宋_GB2312" w:eastAsia="仿宋_GB2312"/>
          <w:sz w:val="28"/>
          <w:szCs w:val="28"/>
        </w:rPr>
        <w:t>支出105万元，占本年财政拨款支出</w:t>
      </w:r>
      <w:r>
        <w:rPr>
          <w:rFonts w:hint="eastAsia" w:ascii="仿宋_GB2312" w:eastAsia="仿宋_GB2312"/>
          <w:sz w:val="28"/>
          <w:szCs w:val="28"/>
          <w:lang w:val="en-US" w:eastAsia="zh-CN"/>
        </w:rPr>
        <w:t>100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其他</w:t>
      </w:r>
      <w:r>
        <w:rPr>
          <w:rFonts w:hint="eastAsia" w:ascii="仿宋_GB2312" w:eastAsia="仿宋_GB2312"/>
          <w:sz w:val="28"/>
          <w:szCs w:val="28"/>
        </w:rPr>
        <w:t>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105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154.41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“彩票公益金安排的支出”（款）202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105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154.41</w:t>
      </w:r>
      <w:r>
        <w:rPr>
          <w:rFonts w:hint="eastAsia" w:ascii="仿宋_GB2312" w:eastAsia="仿宋_GB2312"/>
          <w:sz w:val="28"/>
          <w:szCs w:val="28"/>
        </w:rPr>
        <w:t>%。主要原因：2024年6月中央下拨第二批用于残疾人事业的彩票公益金支出37万元。</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685.77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办公费、印刷费、电费、邮电费、取暖费、物业管理费、差旅费、维修（护）费、租赁费、劳务费、委托业务费、工会经费、福利费、公务用车运行维护费、其他交通费、其他商品和服务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w:t>
      </w:r>
      <w:r>
        <w:rPr>
          <w:rFonts w:hint="eastAsia" w:ascii="仿宋_GB2312" w:eastAsia="仿宋_GB2312"/>
          <w:sz w:val="28"/>
          <w:szCs w:val="28"/>
        </w:rPr>
        <w:t>救济费</w:t>
      </w:r>
      <w:r>
        <w:rPr>
          <w:rFonts w:ascii="仿宋_GB2312" w:eastAsia="仿宋_GB2312"/>
          <w:sz w:val="28"/>
          <w:szCs w:val="28"/>
        </w:rPr>
        <w:t>、奖励金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0.37</w:t>
      </w:r>
      <w:r>
        <w:rPr>
          <w:rFonts w:hint="eastAsia" w:ascii="仿宋_GB2312" w:eastAsia="仿宋_GB2312"/>
          <w:sz w:val="28"/>
          <w:szCs w:val="28"/>
        </w:rPr>
        <w:t>万元，比</w:t>
      </w:r>
      <w:bookmarkStart w:id="0" w:name="_GoBack"/>
      <w:bookmarkEnd w:id="0"/>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3.6</w:t>
      </w:r>
      <w:r>
        <w:rPr>
          <w:rFonts w:hint="eastAsia" w:ascii="仿宋_GB2312" w:eastAsia="仿宋_GB2312"/>
          <w:sz w:val="28"/>
          <w:szCs w:val="28"/>
        </w:rPr>
        <w:t>万元减少</w:t>
      </w:r>
      <w:r>
        <w:rPr>
          <w:rFonts w:hint="eastAsia" w:ascii="仿宋_GB2312" w:eastAsia="仿宋_GB2312"/>
          <w:sz w:val="28"/>
          <w:szCs w:val="28"/>
          <w:lang w:val="en-US" w:eastAsia="zh-CN"/>
        </w:rPr>
        <w:t>3.23</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年度年初预算数增加（减少）</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lang w:val="en-US" w:eastAsia="zh-CN"/>
        </w:rPr>
        <w:t>2024年无此项支出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万元增加（减少）</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年度公务接待费主要用于</w:t>
      </w:r>
      <w:r>
        <w:rPr>
          <w:rFonts w:hint="eastAsia" w:ascii="仿宋_GB2312" w:eastAsia="仿宋_GB2312"/>
          <w:sz w:val="28"/>
          <w:szCs w:val="28"/>
          <w:lang w:eastAsia="zh-CN"/>
        </w:rPr>
        <w:t>：无此项支出</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0.37</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3.6</w:t>
      </w:r>
      <w:r>
        <w:rPr>
          <w:rFonts w:hint="eastAsia" w:ascii="仿宋_GB2312" w:eastAsia="仿宋_GB2312"/>
          <w:sz w:val="28"/>
          <w:szCs w:val="28"/>
        </w:rPr>
        <w:t>万元减少</w:t>
      </w:r>
      <w:r>
        <w:rPr>
          <w:rFonts w:hint="eastAsia" w:ascii="仿宋_GB2312" w:eastAsia="仿宋_GB2312"/>
          <w:sz w:val="28"/>
          <w:szCs w:val="28"/>
          <w:lang w:val="en-US" w:eastAsia="zh-CN"/>
        </w:rPr>
        <w:t>3.23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无此项支出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0.37</w:t>
      </w:r>
      <w:r>
        <w:rPr>
          <w:rFonts w:hint="eastAsia" w:ascii="仿宋_GB2312" w:eastAsia="仿宋_GB2312"/>
          <w:sz w:val="28"/>
          <w:szCs w:val="28"/>
        </w:rPr>
        <w:t>万元，主要原因：大兴区残疾人联合会（本级）应急保障用车调拨至区机关事务中心及厉行节约，倡导绿色出行，公车出行减少。202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68.53</w:t>
      </w:r>
      <w:r>
        <w:rPr>
          <w:rFonts w:hint="eastAsia" w:ascii="仿宋_GB2312" w:eastAsia="仿宋_GB2312"/>
          <w:sz w:val="28"/>
          <w:szCs w:val="28"/>
        </w:rPr>
        <w:t>万元，比上年减少2.95万元，</w:t>
      </w:r>
      <w:r>
        <w:rPr>
          <w:rFonts w:hint="eastAsia" w:ascii="仿宋_GB2312" w:eastAsia="仿宋_GB2312"/>
          <w:sz w:val="28"/>
          <w:szCs w:val="28"/>
          <w:lang w:eastAsia="zh-CN"/>
        </w:rPr>
        <w:t>减少</w:t>
      </w:r>
      <w:r>
        <w:rPr>
          <w:rFonts w:hint="eastAsia" w:ascii="仿宋_GB2312" w:eastAsia="仿宋_GB2312"/>
          <w:sz w:val="28"/>
          <w:szCs w:val="28"/>
        </w:rPr>
        <w:t>原因：建设节约型机关，倡导双面打印等节约措施，大楼维修维护费减少。</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358.6</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3.8</w:t>
      </w:r>
      <w:r>
        <w:rPr>
          <w:rFonts w:hint="eastAsia" w:ascii="仿宋_GB2312" w:eastAsia="仿宋_GB2312"/>
          <w:sz w:val="28"/>
          <w:szCs w:val="28"/>
        </w:rPr>
        <w:t>万元，政府采购工程支出</w:t>
      </w:r>
      <w:r>
        <w:rPr>
          <w:rFonts w:hint="eastAsia" w:ascii="仿宋_GB2312" w:eastAsia="仿宋_GB2312"/>
          <w:sz w:val="28"/>
          <w:szCs w:val="28"/>
          <w:lang w:val="en-US" w:eastAsia="zh-CN"/>
        </w:rPr>
        <w:t>354.47</w:t>
      </w:r>
      <w:r>
        <w:rPr>
          <w:rFonts w:hint="eastAsia" w:ascii="仿宋_GB2312" w:eastAsia="仿宋_GB2312"/>
          <w:sz w:val="28"/>
          <w:szCs w:val="28"/>
        </w:rPr>
        <w:t>万元，政府采购服务支出</w:t>
      </w:r>
      <w:r>
        <w:rPr>
          <w:rFonts w:hint="eastAsia" w:ascii="仿宋_GB2312" w:eastAsia="仿宋_GB2312"/>
          <w:sz w:val="28"/>
          <w:szCs w:val="28"/>
          <w:lang w:val="en-US" w:eastAsia="zh-CN"/>
        </w:rPr>
        <w:t>0.33</w:t>
      </w:r>
      <w:r>
        <w:rPr>
          <w:rFonts w:hint="eastAsia" w:ascii="仿宋_GB2312" w:eastAsia="仿宋_GB2312"/>
          <w:sz w:val="28"/>
          <w:szCs w:val="28"/>
        </w:rPr>
        <w:t>万元。授予中小企业合同金额</w:t>
      </w:r>
      <w:r>
        <w:rPr>
          <w:rFonts w:ascii="仿宋_GB2312" w:eastAsia="仿宋_GB2312"/>
          <w:sz w:val="28"/>
          <w:szCs w:val="28"/>
        </w:rPr>
        <w:t>358.46</w:t>
      </w:r>
      <w:r>
        <w:rPr>
          <w:rFonts w:hint="eastAsia" w:ascii="仿宋_GB2312" w:eastAsia="仿宋_GB2312"/>
          <w:sz w:val="28"/>
          <w:szCs w:val="28"/>
        </w:rPr>
        <w:t>万元，占政府采购支出总额的</w:t>
      </w:r>
      <w:r>
        <w:rPr>
          <w:rFonts w:hint="eastAsia" w:ascii="仿宋_GB2312" w:eastAsia="仿宋_GB2312"/>
          <w:sz w:val="28"/>
          <w:szCs w:val="28"/>
          <w:lang w:eastAsia="zh-CN"/>
        </w:rPr>
        <w:t>99.96</w:t>
      </w:r>
      <w:r>
        <w:rPr>
          <w:rFonts w:hint="eastAsia" w:ascii="仿宋_GB2312" w:eastAsia="仿宋_GB2312"/>
          <w:sz w:val="28"/>
          <w:szCs w:val="28"/>
        </w:rPr>
        <w:t>%，其中：授予小微企业合同金额</w:t>
      </w:r>
      <w:r>
        <w:rPr>
          <w:rFonts w:ascii="仿宋_GB2312" w:eastAsia="仿宋_GB2312"/>
          <w:sz w:val="28"/>
          <w:szCs w:val="28"/>
        </w:rPr>
        <w:t>354.86</w:t>
      </w:r>
      <w:r>
        <w:rPr>
          <w:rFonts w:hint="eastAsia" w:ascii="仿宋_GB2312" w:eastAsia="仿宋_GB2312"/>
          <w:sz w:val="28"/>
          <w:szCs w:val="28"/>
        </w:rPr>
        <w:t>万元，占政府采购支出总额的</w:t>
      </w:r>
      <w:r>
        <w:rPr>
          <w:rFonts w:ascii="仿宋_GB2312" w:eastAsia="仿宋_GB2312"/>
          <w:sz w:val="28"/>
          <w:szCs w:val="28"/>
        </w:rPr>
        <w:t>98.96</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12月31日，北京市大兴区残疾人联合会（本级）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2</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政府购买服务决算603.73</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pStyle w:val="2"/>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7.社会保障和就业支出（类）行政事业单位养老支出（款）行政单位离退休（项）：反映行政单位开支的离退休费</w:t>
      </w:r>
    </w:p>
    <w:p>
      <w:pPr>
        <w:pStyle w:val="3"/>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8.社会保障和就业支出（类）行政事业单位养老支出（款）机关事业单位基本养老保险缴费支出（项）：反映机关事业单位实施养老保险制度由单位缴纳的基本养老保险费支出。</w:t>
      </w:r>
    </w:p>
    <w:p>
      <w:p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9.社会保障和就业支出（类）行政事业单位养老支出（款）机关事业单位职业年金缴费支出（项）：反映机关事业单位实施养老保险制度由单位实际缴纳的职业年金支出。</w:t>
      </w:r>
    </w:p>
    <w:p>
      <w:pPr>
        <w:pStyle w:val="2"/>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10.社会保障和就业支出（类）残疾人事业（款）行政运行（项）：反行政单位的基本支出。</w:t>
      </w:r>
    </w:p>
    <w:p>
      <w:pPr>
        <w:pStyle w:val="2"/>
        <w:ind w:firstLine="560" w:firstLineChars="200"/>
        <w:rPr>
          <w:rFonts w:hint="default" w:eastAsia="仿宋_GB2312"/>
          <w:lang w:val="en-US" w:eastAsia="zh-CN"/>
        </w:rPr>
      </w:pPr>
      <w:r>
        <w:rPr>
          <w:rFonts w:hint="eastAsia" w:ascii="仿宋_GB2312" w:eastAsia="仿宋_GB2312"/>
          <w:sz w:val="28"/>
          <w:szCs w:val="28"/>
          <w:lang w:val="en-US" w:eastAsia="zh-CN"/>
        </w:rPr>
        <w:t>11.社会保障和就业支出（类）残疾人事业（款）残疾人康复（项）：反映残疾人联合会用于残疾人康复方面的支出。</w:t>
      </w:r>
    </w:p>
    <w:p>
      <w:pPr>
        <w:pStyle w:val="2"/>
        <w:ind w:firstLine="560" w:firstLineChars="200"/>
        <w:rPr>
          <w:rFonts w:hint="default" w:eastAsia="仿宋_GB2312"/>
          <w:lang w:val="en-US" w:eastAsia="zh-CN"/>
        </w:rPr>
      </w:pPr>
      <w:r>
        <w:rPr>
          <w:rFonts w:hint="eastAsia" w:ascii="仿宋_GB2312" w:eastAsia="仿宋_GB2312"/>
          <w:sz w:val="28"/>
          <w:szCs w:val="28"/>
          <w:lang w:val="en-US" w:eastAsia="zh-CN"/>
        </w:rPr>
        <w:t>12.社会保障和就业支出（类）残疾人事业（款）残疾人就业（项）：反映残疾人联合会用于残疾人就业方面的支出。</w:t>
      </w:r>
    </w:p>
    <w:p>
      <w:pPr>
        <w:pStyle w:val="2"/>
        <w:ind w:firstLine="560" w:firstLineChars="200"/>
        <w:rPr>
          <w:rFonts w:hint="default" w:eastAsia="仿宋_GB2312"/>
          <w:lang w:val="en-US" w:eastAsia="zh-CN"/>
        </w:rPr>
      </w:pPr>
      <w:r>
        <w:rPr>
          <w:rFonts w:hint="eastAsia" w:ascii="仿宋_GB2312" w:eastAsia="仿宋_GB2312"/>
          <w:sz w:val="28"/>
          <w:szCs w:val="28"/>
          <w:lang w:val="en-US" w:eastAsia="zh-CN"/>
        </w:rPr>
        <w:t>13.社会保障和就业支出（类）残疾人事业（款）残疾人体育（项）：反映残疾人联合会用于残疾人体育方面的支出。</w:t>
      </w:r>
    </w:p>
    <w:p>
      <w:pPr>
        <w:pStyle w:val="2"/>
        <w:ind w:firstLine="560" w:firstLineChars="200"/>
        <w:rPr>
          <w:rFonts w:hint="default" w:eastAsia="仿宋_GB2312"/>
          <w:lang w:val="en-US" w:eastAsia="zh-CN"/>
        </w:rPr>
      </w:pPr>
      <w:r>
        <w:rPr>
          <w:rFonts w:hint="eastAsia" w:ascii="仿宋_GB2312" w:eastAsia="仿宋_GB2312"/>
          <w:sz w:val="28"/>
          <w:szCs w:val="28"/>
          <w:lang w:val="en-US" w:eastAsia="zh-CN"/>
        </w:rPr>
        <w:t>14.社会保障和就业支出（类）残疾人事业（款）残疾人就业（项）：反映残疾人联合会用于残疾人就业方面的支出。</w:t>
      </w:r>
    </w:p>
    <w:p>
      <w:pPr>
        <w:pStyle w:val="2"/>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15.社会保障和就业支出（类）残疾人事业（款）其他残疾人事业支出（项）：反映其他用于残疾人事业方面的支出。</w:t>
      </w:r>
    </w:p>
    <w:p>
      <w:pPr>
        <w:pStyle w:val="3"/>
        <w:ind w:firstLine="560" w:firstLineChars="200"/>
        <w:rPr>
          <w:rFonts w:hint="default"/>
          <w:lang w:val="en-US" w:eastAsia="zh-CN"/>
        </w:rPr>
      </w:pPr>
      <w:r>
        <w:rPr>
          <w:rFonts w:hint="eastAsia" w:ascii="仿宋_GB2312" w:eastAsia="仿宋_GB2312"/>
          <w:sz w:val="28"/>
          <w:szCs w:val="28"/>
          <w:lang w:val="en-US" w:eastAsia="zh-CN"/>
        </w:rPr>
        <w:t>16.卫生健康支出（类）行政事业单位医疗（款）事业单位医疗（项）：反映财政部门安排的事业单位基本医疗保险缴费经费。</w:t>
      </w:r>
    </w:p>
    <w:p>
      <w:pPr>
        <w:pStyle w:val="3"/>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17.卫生健康支出（类）行政事业单位医疗（款）公务员医疗补助（项）：反映财政部门安排的公务员医疗补助经费。</w:t>
      </w:r>
    </w:p>
    <w:p>
      <w:pPr>
        <w:ind w:firstLine="560" w:firstLineChars="200"/>
        <w:rPr>
          <w:rFonts w:hint="default"/>
          <w:lang w:val="en-US" w:eastAsia="zh-CN"/>
        </w:rPr>
      </w:pPr>
      <w:r>
        <w:rPr>
          <w:rFonts w:hint="eastAsia" w:ascii="仿宋_GB2312" w:eastAsia="仿宋_GB2312"/>
          <w:sz w:val="28"/>
          <w:szCs w:val="28"/>
          <w:lang w:val="en-US" w:eastAsia="zh-CN"/>
        </w:rPr>
        <w:t>18.住房保障支出（类）住房改革支出（款）购房补贴（项）：反映按房改政策规定、行政事业单位向符合条件职工发放的用于购买住房的补贴。</w:t>
      </w: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3</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5</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15</w: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B73493"/>
    <w:rsid w:val="167A2FF9"/>
    <w:rsid w:val="1764587C"/>
    <w:rsid w:val="18581C69"/>
    <w:rsid w:val="1AEC0734"/>
    <w:rsid w:val="1DEF20B0"/>
    <w:rsid w:val="1E4B7E21"/>
    <w:rsid w:val="1FF7AB17"/>
    <w:rsid w:val="214243FA"/>
    <w:rsid w:val="21AD613C"/>
    <w:rsid w:val="22467189"/>
    <w:rsid w:val="257A14F5"/>
    <w:rsid w:val="27196C26"/>
    <w:rsid w:val="29EF086F"/>
    <w:rsid w:val="2BC34C59"/>
    <w:rsid w:val="2EFFE297"/>
    <w:rsid w:val="301437CA"/>
    <w:rsid w:val="349D1F0A"/>
    <w:rsid w:val="34DD0473"/>
    <w:rsid w:val="3A8E35DC"/>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5DF716AE"/>
    <w:rsid w:val="5F9F507E"/>
    <w:rsid w:val="60A54109"/>
    <w:rsid w:val="61D01CDF"/>
    <w:rsid w:val="64C0607C"/>
    <w:rsid w:val="65756C86"/>
    <w:rsid w:val="674D385B"/>
    <w:rsid w:val="676F09E1"/>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3">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120"/>
      <w:jc w:val="both"/>
    </w:pPr>
    <w:rPr>
      <w:rFonts w:ascii="Calibri" w:hAnsi="Calibri" w:eastAsia="宋体" w:cs="Times New Roman"/>
      <w:kern w:val="2"/>
      <w:sz w:val="21"/>
      <w:szCs w:val="24"/>
      <w:lang w:val="en-US" w:eastAsia="zh-CN" w:bidi="ar-SA"/>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5">
    <w:name w:val="Normal Indent"/>
    <w:basedOn w:val="1"/>
    <w:qFormat/>
    <w:uiPriority w:val="0"/>
    <w:pPr>
      <w:ind w:firstLine="200" w:firstLineChars="200"/>
    </w:pPr>
  </w:style>
  <w:style w:type="paragraph" w:styleId="6">
    <w:name w:val="Body Text Indent"/>
    <w:basedOn w:val="1"/>
    <w:qFormat/>
    <w:uiPriority w:val="0"/>
    <w:pPr>
      <w:ind w:firstLine="645"/>
    </w:pPr>
    <w:rPr>
      <w:rFonts w:ascii="仿宋_GB2312" w:hAnsi="Calibri" w:eastAsia="仿宋_GB2312"/>
      <w:sz w:val="32"/>
      <w:szCs w:val="32"/>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6"/>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Normal (Web)"/>
    <w:basedOn w:val="1"/>
    <w:unhideWhenUsed/>
    <w:qFormat/>
    <w:uiPriority w:val="0"/>
    <w:pPr>
      <w:spacing w:before="100" w:beforeAutospacing="1" w:after="100" w:afterAutospacing="1"/>
      <w:ind w:right="238"/>
      <w:jc w:val="left"/>
    </w:pPr>
    <w:rPr>
      <w:b/>
      <w:kern w:val="0"/>
      <w:sz w:val="24"/>
      <w:szCs w:val="20"/>
    </w:rPr>
  </w:style>
  <w:style w:type="character" w:styleId="14">
    <w:name w:val="Strong"/>
    <w:qFormat/>
    <w:uiPriority w:val="0"/>
    <w:rPr>
      <w:b/>
    </w:rPr>
  </w:style>
  <w:style w:type="character" w:styleId="15">
    <w:name w:val="page number"/>
    <w:qFormat/>
    <w:uiPriority w:val="0"/>
  </w:style>
  <w:style w:type="character" w:customStyle="1" w:styleId="16">
    <w:name w:val="页脚 Char"/>
    <w:link w:val="9"/>
    <w:qFormat/>
    <w:uiPriority w:val="0"/>
    <w:rPr>
      <w:rFonts w:eastAsia="宋体"/>
      <w:kern w:val="2"/>
      <w:sz w:val="18"/>
      <w:szCs w:val="18"/>
      <w:lang w:val="en-US" w:eastAsia="zh-CN" w:bidi="ar-SA"/>
    </w:rPr>
  </w:style>
  <w:style w:type="character" w:customStyle="1" w:styleId="17">
    <w:name w:val="页眉 Char"/>
    <w:link w:val="10"/>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5"/>
              <c:layout>
                <c:manualLayout>
                  <c:x val="-0.00244817416615036"/>
                  <c:y val="-0.0386625096278125"/>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0.0</a:t>
                    </a:r>
                    <a:r>
                      <a:rPr lang="en-US" altLang="zh-CN"/>
                      <a:t>5</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38056013179572"/>
                      <c:h val="0.113829425756031"/>
                    </c:manualLayout>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11157.56</c:v>
                </c:pt>
                <c:pt idx="1">
                  <c:v>0</c:v>
                </c:pt>
                <c:pt idx="2">
                  <c:v>0</c:v>
                </c:pt>
                <c:pt idx="3">
                  <c:v>0</c:v>
                </c:pt>
                <c:pt idx="4">
                  <c:v>0</c:v>
                </c:pt>
                <c:pt idx="5">
                  <c:v>5.8</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685.77</c:v>
                </c:pt>
                <c:pt idx="1">
                  <c:v>10527.93</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2</TotalTime>
  <ScaleCrop>false</ScaleCrop>
  <LinksUpToDate>false</LinksUpToDate>
  <CharactersWithSpaces>298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2025-09-23T02:17:56Z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