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2025年行政执法统计年报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行政执法机关情况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我局共有行政执法主体1个，为北京市大兴区农业农村局。执行主体1个，为北京市大兴区农业综合执法大队。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共设置行政执法岗位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两类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，核定执法总人数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84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人，实际关联执法人员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70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人，在岗率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100%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。其中A类行政执法岗位（监管执法岗，主动依职责行使行政检查、行政处罚、行政强制等权力）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68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个，岗位核定人数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68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人，实际关联执法人员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68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人；B类行政执法岗位（政务服务岗，依申请被动行使行政许可、行政确认、行政给付等权力）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个，岗位核定人数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人，实际关联执法人员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cs="Times New Roman"/>
          <w:sz w:val="32"/>
          <w:szCs w:val="32"/>
          <w:highlight w:val="none"/>
          <w:lang w:eastAsia="zh-CN"/>
        </w:rPr>
        <w:t>全局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取得行政执法资格证人员70人。</w:t>
      </w:r>
      <w:r>
        <w:rPr>
          <w:rFonts w:hint="eastAsia" w:ascii="仿宋_GB2312" w:hAnsi="Calibri" w:cs="Times New Roman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名执法人员参与行政执法工作，A岗人员参与执法率为100%。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政务服务办理情况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聚焦群众办事堵点难点问题，大力推进“一窗受理、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一网通办</w:t>
      </w:r>
      <w:r>
        <w:rPr>
          <w:rFonts w:hint="eastAsia" w:ascii="仿宋_GB2312" w:hAnsi="仿宋_GB2312" w:eastAsia="仿宋_GB2312" w:cs="仿宋_GB2312"/>
          <w:sz w:val="32"/>
          <w:szCs w:val="32"/>
        </w:rPr>
        <w:t>”模式，202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，政务服务窗口累计接待群众咨询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余人次，办理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530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审批事项大厅进驻率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委托受理率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授权审批率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，通过电话回访、现场调研等方式精准收集群众意见建议，经汇总评估，年度群众满意度达100%。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健全执法管理制度体系，制定《行政执法监督制度》《领导干部不得干预行政执法活动、插手案件办理工作制度》等执法管理制度，构建起覆盖执法全流程的制度体系。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行政处罚裁量基准，确保同案同罚、过罚相当；全面推行行政执法公示、执法全过程记录、重大执法决定法制审核“三项制度”，执法人员全部配备执法记录仪，实现执法过程全程留痕，“三项制度”执行规范率均达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聚焦农产品质量安全、农资市场监管、畜禽养殖污染防治等重点领域，高效推进执法检查工作，全年完成执法检查380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次，其中现场检查912次，非现场检查2893次，非现场检查占比76.05%；问题发现率37.80%，高于全区平均水平，执法检查质效显著。本机关对同一企业实施现场检查年度频次上限为7次/年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，全局共办理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49起（含不予行政处罚），罚款21267.86元。其中一般程序43起，罚款21127.86元；简易程序6起，罚款140元；不予处罚案件13起，免罚金额174500元。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无行政强制案件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无行政许可案件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2025年度，全局共受理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投诉举报行政处罚总数为34起，包含不予行政处罚10起，罚款14947元，其中一般程序31起，简易程序3起。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480" w:firstLineChars="140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480" w:firstLineChars="140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北京市大兴区农业农村局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821090"/>
    <w:multiLevelType w:val="singleLevel"/>
    <w:tmpl w:val="208210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DE2BD3"/>
    <w:multiLevelType w:val="singleLevel"/>
    <w:tmpl w:val="61DE2BD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82A4C"/>
    <w:rsid w:val="0568332A"/>
    <w:rsid w:val="1BB12508"/>
    <w:rsid w:val="21856A60"/>
    <w:rsid w:val="2B035C23"/>
    <w:rsid w:val="2E1C2042"/>
    <w:rsid w:val="40982A4C"/>
    <w:rsid w:val="5ECF1025"/>
    <w:rsid w:val="7E7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szCs w:val="20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1051</Characters>
  <Lines>0</Lines>
  <Paragraphs>0</Paragraphs>
  <TotalTime>0</TotalTime>
  <ScaleCrop>false</ScaleCrop>
  <LinksUpToDate>false</LinksUpToDate>
  <CharactersWithSpaces>1082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2026-01-13T01:51:00Z</dcterms:created>
  <dc:creator>云洁</dc:creator>
  <cp:lastModifiedBy>法制办公文</cp:lastModifiedBy>
  <dcterms:modified xsi:type="dcterms:W3CDTF">2026-02-03T07:33:14Z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84AFD85079A740C181CED3329481F5E0_11</vt:lpwstr>
  </property>
  <property fmtid="{D5CDD505-2E9C-101B-9397-08002B2CF9AE}" pid="4" name="KSOTemplateDocerSaveRecord">
    <vt:lpwstr>eyJoZGlkIjoiNzFmMTAzYzVlNjQ0YzUzMmEyMDY5YjQyMjUzNDVlODIiLCJ1c2VySWQiOiIxMzIwMzA0NjA1In0=</vt:lpwstr>
  </property>
</Properties>
</file>