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北京市大兴区青云店镇人民政府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2025年执法统计年报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9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根据《北京市行政执法公示办法》第十七条规定，现将北京市大兴区青云店镇人民政府202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年执法情况报告如下：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>一、行政执法机关的执法主体名称和数量情况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9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行政执法主体全称为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北京市大兴区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青云店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镇人民政府。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9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数量情况：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1个。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9" w:lineRule="exact"/>
        <w:ind w:left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 xml:space="preserve">二、各执法主体的执法岗位设置及执法人员在岗情况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执法岗位分为A岗和B岗两类，共核定</w:t>
      </w:r>
      <w:r>
        <w:rPr>
          <w:rFonts w:hint="eastAsia" w:ascii="仿宋_GB2312" w:hAnsi="Times New Roman" w:cs="仿宋_GB2312"/>
          <w:kern w:val="2"/>
          <w:sz w:val="32"/>
          <w:szCs w:val="32"/>
          <w:lang w:val="en-US" w:eastAsia="zh-CN" w:bidi="ar"/>
        </w:rPr>
        <w:t>10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人，其中A岗</w:t>
      </w:r>
      <w:r>
        <w:rPr>
          <w:rFonts w:hint="eastAsia" w:ascii="仿宋_GB2312" w:hAnsi="Times New Roman" w:cs="仿宋_GB2312"/>
          <w:kern w:val="2"/>
          <w:sz w:val="32"/>
          <w:szCs w:val="32"/>
          <w:lang w:val="en-US" w:eastAsia="zh-CN" w:bidi="ar"/>
        </w:rPr>
        <w:t>10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人，B岗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0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人。执法人员在岗</w:t>
      </w:r>
      <w:r>
        <w:rPr>
          <w:rFonts w:hint="eastAsia" w:ascii="仿宋_GB2312" w:hAnsi="Times New Roman" w:cs="仿宋_GB2312"/>
          <w:kern w:val="2"/>
          <w:sz w:val="32"/>
          <w:szCs w:val="32"/>
          <w:lang w:val="en-US" w:eastAsia="zh-CN" w:bidi="ar"/>
        </w:rPr>
        <w:t>7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人，其中A岗</w:t>
      </w:r>
      <w:r>
        <w:rPr>
          <w:rFonts w:hint="eastAsia" w:ascii="仿宋_GB2312" w:hAnsi="Times New Roman" w:cs="仿宋_GB2312"/>
          <w:kern w:val="2"/>
          <w:sz w:val="32"/>
          <w:szCs w:val="32"/>
          <w:lang w:val="en-US" w:eastAsia="zh-CN" w:bidi="ar"/>
        </w:rPr>
        <w:t>7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人，B岗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0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人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，</w:t>
      </w:r>
      <w:r>
        <w:rPr>
          <w:rFonts w:hint="eastAsia" w:ascii="仿宋_GB2312" w:hAnsi="Times New Roman" w:cs="仿宋_GB2312"/>
          <w:kern w:val="2"/>
          <w:sz w:val="32"/>
          <w:szCs w:val="32"/>
          <w:lang w:val="en-US" w:eastAsia="zh-CN" w:bidi="ar"/>
        </w:rPr>
        <w:t>7</w:t>
      </w:r>
      <w:r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人取得北京市行政执法证。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9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>三、执法力量投入情况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取得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  <w:lang w:eastAsia="zh-CN"/>
        </w:rPr>
        <w:t>行政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执法资格证人员</w:t>
      </w:r>
      <w:r>
        <w:rPr>
          <w:rFonts w:hint="eastAsia" w:ascii="仿宋_GB2312" w:hAnsi="Calibri" w:cs="Times New Roman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人。</w:t>
      </w:r>
      <w:r>
        <w:rPr>
          <w:rFonts w:hint="eastAsia" w:ascii="仿宋_GB2312" w:hAnsi="Calibri" w:cs="Times New Roman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名执法人员参与行政执法工作，A岗人员参与执法率为</w:t>
      </w:r>
      <w:r>
        <w:rPr>
          <w:rFonts w:hint="eastAsia" w:ascii="仿宋_GB2312" w:hAnsi="Calibri" w:cs="Times New Roman"/>
          <w:sz w:val="32"/>
          <w:szCs w:val="32"/>
          <w:highlight w:val="none"/>
          <w:lang w:val="en-US" w:eastAsia="zh-CN"/>
        </w:rPr>
        <w:t>100%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>四、政务服务事项的办理情况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本</w:t>
      </w:r>
      <w:r>
        <w:rPr>
          <w:rFonts w:hint="eastAsia" w:ascii="仿宋_GB2312" w:hAnsi="Times New Roman" w:cs="仿宋_GB2312"/>
          <w:kern w:val="2"/>
          <w:sz w:val="32"/>
          <w:szCs w:val="32"/>
          <w:lang w:val="en-US" w:eastAsia="zh-CN" w:bidi="ar"/>
        </w:rPr>
        <w:t>单位2025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年度共受理服务事项</w:t>
      </w:r>
      <w:r>
        <w:rPr>
          <w:rFonts w:hint="eastAsia" w:ascii="仿宋_GB2312" w:hAnsi="Times New Roman" w:cs="仿宋_GB2312"/>
          <w:kern w:val="2"/>
          <w:sz w:val="32"/>
          <w:szCs w:val="32"/>
          <w:lang w:val="en-US" w:eastAsia="zh-CN" w:bidi="ar"/>
        </w:rPr>
        <w:t>6389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>五、执法检查计划执行情况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cs="仿宋_GB2312"/>
          <w:color w:val="auto"/>
          <w:kern w:val="2"/>
          <w:sz w:val="32"/>
          <w:szCs w:val="32"/>
          <w:lang w:val="en-US" w:eastAsia="zh-CN" w:bidi="ar"/>
        </w:rPr>
        <w:t>2025年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度，本</w:t>
      </w:r>
      <w:r>
        <w:rPr>
          <w:rFonts w:hint="eastAsia" w:ascii="仿宋_GB2312" w:hAnsi="Times New Roman" w:cs="仿宋_GB2312"/>
          <w:color w:val="auto"/>
          <w:kern w:val="2"/>
          <w:sz w:val="32"/>
          <w:szCs w:val="32"/>
          <w:lang w:val="en-US" w:eastAsia="zh-CN" w:bidi="ar"/>
        </w:rPr>
        <w:t>单位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严格执行</w:t>
      </w:r>
      <w:r>
        <w:rPr>
          <w:rFonts w:hint="eastAsia" w:ascii="仿宋_GB2312" w:hAnsi="Times New Roman" w:cs="仿宋_GB2312"/>
          <w:color w:val="auto"/>
          <w:kern w:val="2"/>
          <w:sz w:val="32"/>
          <w:szCs w:val="32"/>
          <w:lang w:val="en-US" w:eastAsia="zh-CN" w:bidi="ar"/>
        </w:rPr>
        <w:t>年度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执法检查计划，</w:t>
      </w:r>
      <w:r>
        <w:rPr>
          <w:rFonts w:hint="eastAsia" w:ascii="仿宋_GB2312" w:hAnsi="Times New Roman" w:cs="仿宋_GB2312"/>
          <w:color w:val="auto"/>
          <w:kern w:val="2"/>
          <w:sz w:val="32"/>
          <w:szCs w:val="32"/>
          <w:lang w:val="en-US" w:eastAsia="zh-CN" w:bidi="ar"/>
        </w:rPr>
        <w:t>入企行政检查频次90次，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全年完成行政检查共计</w:t>
      </w:r>
      <w:r>
        <w:rPr>
          <w:rFonts w:hint="eastAsia" w:ascii="仿宋_GB2312" w:hAnsi="Times New Roman" w:cs="仿宋_GB2312"/>
          <w:color w:val="auto"/>
          <w:kern w:val="2"/>
          <w:sz w:val="32"/>
          <w:szCs w:val="32"/>
          <w:lang w:val="en-US" w:eastAsia="zh-CN" w:bidi="ar"/>
        </w:rPr>
        <w:t>1368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次。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本机关对同一企业实施现场检查年度频次上限为6次/年。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>六、行政处罚、行政强制等案件的办理情况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本单位2025年度行政处罚总数为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237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起</w:t>
      </w:r>
      <w:r>
        <w:rPr>
          <w:rFonts w:hint="eastAsia" w:ascii="华光楷体_CNKI" w:hAnsi="华光楷体_CNKI" w:eastAsia="华光楷体_CNKI" w:cs="华光楷体_CNKI"/>
          <w:kern w:val="2"/>
          <w:sz w:val="32"/>
          <w:szCs w:val="32"/>
          <w:highlight w:val="none"/>
          <w:lang w:val="en-US" w:eastAsia="zh-CN" w:bidi="ar-SA"/>
        </w:rPr>
        <w:t>（含不予行政处罚）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，罚款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45.47万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元。其中一般程序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128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起，罚款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44.53万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元；简易程序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77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起，罚款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0.94万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元；不予处罚案件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32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起，免罚金额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1.78万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无行政强制案件。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无行政许可案件。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>七、投诉、举报案件的受理和分类办理情况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right="0" w:rightChars="0" w:firstLine="64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北京市大兴区青云店镇</w:t>
      </w:r>
      <w:r>
        <w:rPr>
          <w:rFonts w:hint="eastAsia" w:ascii="仿宋_GB2312" w:hAnsi="Times New Roman" w:cs="仿宋_GB2312"/>
          <w:kern w:val="2"/>
          <w:sz w:val="32"/>
          <w:szCs w:val="32"/>
          <w:lang w:val="en-US" w:eastAsia="zh-CN" w:bidi="ar"/>
        </w:rPr>
        <w:t>人民政府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综合行政执法队</w:t>
      </w:r>
      <w:r>
        <w:rPr>
          <w:rFonts w:hint="eastAsia" w:ascii="仿宋_GB2312" w:hAnsi="Times New Roman" w:cs="仿宋_GB2312"/>
          <w:kern w:val="2"/>
          <w:sz w:val="32"/>
          <w:szCs w:val="32"/>
          <w:lang w:val="en-US" w:eastAsia="zh-CN" w:bidi="ar"/>
        </w:rPr>
        <w:t>2025年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受理12345非紧急救助热线</w:t>
      </w:r>
      <w:r>
        <w:rPr>
          <w:rFonts w:hint="eastAsia" w:ascii="仿宋_GB2312" w:hAnsi="Times New Roman" w:cs="仿宋_GB2312"/>
          <w:kern w:val="2"/>
          <w:sz w:val="32"/>
          <w:szCs w:val="32"/>
          <w:lang w:val="en-US" w:eastAsia="zh-CN" w:bidi="ar"/>
        </w:rPr>
        <w:t>862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件，</w:t>
      </w:r>
      <w:r>
        <w:rPr>
          <w:rFonts w:hint="eastAsia" w:ascii="仿宋_GB2312" w:hAnsi="Times New Roman" w:cs="仿宋_GB2312"/>
          <w:kern w:val="2"/>
          <w:sz w:val="32"/>
          <w:szCs w:val="32"/>
          <w:lang w:val="en-US" w:eastAsia="zh-CN" w:bidi="ar"/>
        </w:rPr>
        <w:t>已全部办结。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>八、行政执法机关认为需要公示的其他情况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afterLines="0" w:line="579" w:lineRule="exact"/>
        <w:ind w:left="0" w:leftChars="0"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无。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afterLines="0" w:line="579" w:lineRule="exact"/>
        <w:ind w:left="0" w:leftChars="0" w:firstLine="640" w:firstLineChars="200"/>
        <w:textAlignment w:val="auto"/>
        <w:rPr>
          <w:rFonts w:hint="eastAsia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afterLines="0" w:line="579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afterLines="0" w:line="579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afterLines="0" w:line="579" w:lineRule="exact"/>
        <w:ind w:firstLine="4256" w:firstLineChars="133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北京市大兴区青云店镇人民政府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afterLines="0" w:line="579" w:lineRule="exact"/>
        <w:ind w:left="0" w:leftChars="0" w:firstLine="5440" w:firstLineChars="17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2025年1月7日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光楷体_CNKI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D2A9D"/>
    <w:rsid w:val="025331D6"/>
    <w:rsid w:val="0F2A6DC6"/>
    <w:rsid w:val="117A11E4"/>
    <w:rsid w:val="15C10E81"/>
    <w:rsid w:val="198569B9"/>
    <w:rsid w:val="19D86901"/>
    <w:rsid w:val="1A7C10DC"/>
    <w:rsid w:val="21091226"/>
    <w:rsid w:val="21E47E29"/>
    <w:rsid w:val="252327B6"/>
    <w:rsid w:val="26DE2DEE"/>
    <w:rsid w:val="304F6120"/>
    <w:rsid w:val="30AF379E"/>
    <w:rsid w:val="335C5514"/>
    <w:rsid w:val="3A6E05E8"/>
    <w:rsid w:val="3FEC65D8"/>
    <w:rsid w:val="4B97722E"/>
    <w:rsid w:val="543D2A9D"/>
    <w:rsid w:val="5485206F"/>
    <w:rsid w:val="582D455C"/>
    <w:rsid w:val="5A4556D4"/>
    <w:rsid w:val="5C982299"/>
    <w:rsid w:val="611539DF"/>
    <w:rsid w:val="637061EA"/>
    <w:rsid w:val="65970ED6"/>
    <w:rsid w:val="67114CB7"/>
    <w:rsid w:val="696B2FD6"/>
    <w:rsid w:val="6CF05FFB"/>
    <w:rsid w:val="6EC20E6B"/>
    <w:rsid w:val="7562473E"/>
    <w:rsid w:val="7A4538EF"/>
    <w:rsid w:val="7C501917"/>
    <w:rsid w:val="7FF3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uiPriority w:val="99"/>
    <w:pPr>
      <w:ind w:firstLine="200" w:firstLineChars="200"/>
    </w:pPr>
  </w:style>
  <w:style w:type="paragraph" w:styleId="3">
    <w:name w:val="Body Text"/>
    <w:basedOn w:val="1"/>
    <w:qFormat/>
    <w:uiPriority w:val="0"/>
    <w:pPr>
      <w:spacing w:after="120" w:afterLines="0"/>
    </w:pPr>
    <w:rPr>
      <w:szCs w:val="20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微软雅黑" w:hAnsi="微软雅黑" w:eastAsia="微软雅黑" w:cs="微软雅黑"/>
      <w:kern w:val="0"/>
      <w:sz w:val="24"/>
      <w:lang w:val="en-US" w:eastAsia="zh-CN" w:bidi="ar"/>
    </w:rPr>
  </w:style>
  <w:style w:type="paragraph" w:styleId="5">
    <w:name w:val="Body Text First Indent"/>
    <w:basedOn w:val="3"/>
    <w:qFormat/>
    <w:uiPriority w:val="0"/>
    <w:pPr>
      <w:ind w:firstLine="420"/>
    </w:pPr>
  </w:style>
  <w:style w:type="character" w:styleId="8">
    <w:name w:val="Strong"/>
    <w:basedOn w:val="7"/>
    <w:qFormat/>
    <w:uiPriority w:val="0"/>
    <w:rPr>
      <w:rFonts w:ascii="微软雅黑" w:hAnsi="微软雅黑" w:eastAsia="微软雅黑" w:cs="微软雅黑"/>
      <w:b/>
    </w:rPr>
  </w:style>
  <w:style w:type="character" w:styleId="9">
    <w:name w:val="FollowedHyperlink"/>
    <w:basedOn w:val="7"/>
    <w:qFormat/>
    <w:uiPriority w:val="0"/>
    <w:rPr>
      <w:rFonts w:hint="eastAsia" w:ascii="微软雅黑" w:hAnsi="微软雅黑" w:eastAsia="微软雅黑" w:cs="微软雅黑"/>
      <w:color w:val="333333"/>
      <w:u w:val="none"/>
    </w:rPr>
  </w:style>
  <w:style w:type="character" w:styleId="10">
    <w:name w:val="Emphasis"/>
    <w:basedOn w:val="7"/>
    <w:qFormat/>
    <w:uiPriority w:val="0"/>
    <w:rPr>
      <w:rFonts w:hint="eastAsia" w:ascii="微软雅黑" w:hAnsi="微软雅黑" w:eastAsia="微软雅黑" w:cs="微软雅黑"/>
      <w:i/>
    </w:rPr>
  </w:style>
  <w:style w:type="character" w:styleId="11">
    <w:name w:val="Hyperlink"/>
    <w:basedOn w:val="7"/>
    <w:qFormat/>
    <w:uiPriority w:val="0"/>
    <w:rPr>
      <w:rFonts w:hint="eastAsia" w:ascii="微软雅黑" w:hAnsi="微软雅黑" w:eastAsia="微软雅黑" w:cs="微软雅黑"/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2021-11-15T03:11:00Z</dcterms:created>
  <dc:creator>法制办公文</dc:creator>
  <cp:lastModifiedBy>清风明月</cp:lastModifiedBy>
  <cp:lastPrinted>2023-01-05T06:57:00Z</cp:lastPrinted>
  <dcterms:modified xsi:type="dcterms:W3CDTF">2026-02-03T09:14:15Z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B1D3908EF1E84489A277A88C222E3591</vt:lpwstr>
  </property>
</Properties>
</file>