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北京市大兴区退役军人事务局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依据《中华人民共和国政府信息公开条例》(以下简称《条例》)第五十条规定，编制本报告。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</w:rPr>
        <w:t>抓好常规</w:t>
      </w: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加强组织领导，将政府信息公开列入重要议事日程，做到信息公开工作高位协调、集体决策、重点部署。建立健全管理及审核机制。及时对政府网站信息内容发布、更新，确保公开信息的真实性与时效性，形成定期搜集、迅速上报、准确审核、及时发布的信息公开工作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</w:rPr>
        <w:t>主动公开情况</w:t>
      </w:r>
      <w:r>
        <w:rPr>
          <w:rFonts w:hint="eastAsia" w:ascii="楷体_GB2312" w:hAnsi="宋体" w:eastAsia="楷体_GB2312" w:cs="宋体"/>
          <w:b w:val="0"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</w:rPr>
        <w:t>本报告中所列数据的统计期限自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年1月1日起至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年12月31日止。通过政府网站主动公开，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年本单位政府信息公开网上信息总数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86</w:t>
      </w:r>
      <w:r>
        <w:rPr>
          <w:rFonts w:hint="eastAsia" w:ascii="仿宋_GB2312" w:eastAsia="仿宋_GB2312" w:hAnsiTheme="minorEastAsia"/>
          <w:sz w:val="32"/>
          <w:szCs w:val="32"/>
        </w:rPr>
        <w:t>条。重点领域公开政府信息数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hAnsiTheme="minorEastAsia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依申请公开情况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年度本单位共收到各类政府信息公开申请0件。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</w:rPr>
        <w:t>政府信息资源的规范化、标准化管理情况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根据北京市及我区工作要求，开展政务公开工作清单梳理工作，编制本单位的政务公开全清单。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（五）政府信息公开监督保障及教育培训情况。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2020</w:t>
      </w:r>
      <w:r>
        <w:rPr>
          <w:rFonts w:hint="eastAsia" w:ascii="仿宋_GB2312" w:eastAsia="仿宋_GB2312" w:hAnsiTheme="minorEastAsia"/>
          <w:sz w:val="32"/>
          <w:szCs w:val="32"/>
        </w:rPr>
        <w:t>年度本单位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组织科室相关工作人员开展《条例》专题培训，并参加大兴区政务公开工作交流培训活动。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+5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+8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372.5125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主要问题：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公开力度需进一步提高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政府信息公开目录需进一步完善和细化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二是信息公开工作人员不能完全固定，使工作人员理论知识不足，经验欠缺。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72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改进措施：一是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继续加强公开渠道及平台建设，充分利用网络等宣传媒介，多形式进行政府信息公开宣传工作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进一步对政府信息公开目录进行细化，遵循公开为原则、不公开为例外准则，尽可能扩大信息公开的范围，同时，在上级部门的指导下，对界定不清的信息进行分类和界定。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二是进一步提高工作人员业务水平，对新接手此项工作人员，加大业务培训力度，快速熟悉业务内容，执行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AB角工作机制，提高工作效率，避免人员岗位调整耽误工作。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pStyle w:val="3"/>
        <w:ind w:firstLine="672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44C9"/>
    <w:rsid w:val="06D9297D"/>
    <w:rsid w:val="1C3850B0"/>
    <w:rsid w:val="20F87A31"/>
    <w:rsid w:val="219A5438"/>
    <w:rsid w:val="2A261EB3"/>
    <w:rsid w:val="3015077B"/>
    <w:rsid w:val="34E737C5"/>
    <w:rsid w:val="360D012E"/>
    <w:rsid w:val="387D62A2"/>
    <w:rsid w:val="3B7927EA"/>
    <w:rsid w:val="43721981"/>
    <w:rsid w:val="484E1E43"/>
    <w:rsid w:val="493423BD"/>
    <w:rsid w:val="57460C6B"/>
    <w:rsid w:val="59086937"/>
    <w:rsid w:val="5C600D67"/>
    <w:rsid w:val="630F44C9"/>
    <w:rsid w:val="67E56E75"/>
    <w:rsid w:val="7AB21CD9"/>
    <w:rsid w:val="7B0D54D0"/>
    <w:rsid w:val="7FA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2020-12-10T08:59:00Z</dcterms:created>
  <dc:creator>退役军人事务局公文</dc:creator>
  <cp:lastModifiedBy>信息公开科</cp:lastModifiedBy>
  <dcterms:modified xsi:type="dcterms:W3CDTF">2021-01-12T09:47:15Z</dcterms:modified>
  <dc:title>北京市大兴区退役军人事务局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