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w:t>
      </w:r>
      <w:r>
        <w:rPr>
          <w:rFonts w:hint="eastAsia" w:ascii="方正小标宋简体" w:hAnsi="方正小标宋简体" w:eastAsia="方正小标宋简体" w:cs="方正小标宋简体"/>
          <w:sz w:val="44"/>
          <w:szCs w:val="44"/>
        </w:rPr>
        <w:t>大兴区住房与城乡建设委员会</w:t>
      </w:r>
    </w:p>
    <w:p>
      <w:pPr>
        <w:spacing w:line="5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2020年政府信息公开工作年度报告</w:t>
      </w:r>
    </w:p>
    <w:p>
      <w:pPr>
        <w:spacing w:line="560" w:lineRule="exact"/>
        <w:jc w:val="center"/>
        <w:rPr>
          <w:sz w:val="44"/>
          <w:szCs w:val="44"/>
        </w:rPr>
      </w:pPr>
    </w:p>
    <w:p>
      <w:pPr>
        <w:widowControl w:val="0"/>
        <w:spacing w:line="560" w:lineRule="exact"/>
        <w:ind w:firstLine="672" w:firstLineChars="200"/>
        <w:jc w:val="both"/>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val="0"/>
        <w:spacing w:line="560" w:lineRule="exact"/>
        <w:ind w:firstLine="672" w:firstLineChars="200"/>
        <w:jc w:val="both"/>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val="0"/>
        <w:spacing w:line="560" w:lineRule="exact"/>
        <w:ind w:firstLine="672" w:firstLineChars="200"/>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2020年，大兴区住房和城乡建设委员会认真贯彻落实《中华人民共和国政府信息公开条例》，积极采取有效措施，大力推进政府信息公开工作。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1.组织领导情况</w:t>
      </w:r>
      <w:r>
        <w:rPr>
          <w:rFonts w:hint="eastAsia" w:ascii="仿宋_GB2312" w:eastAsia="仿宋_GB2312"/>
          <w:sz w:val="32"/>
          <w:szCs w:val="32"/>
          <w:lang w:eastAsia="zh-CN"/>
        </w:rPr>
        <w:t>。</w:t>
      </w:r>
      <w:r>
        <w:rPr>
          <w:rFonts w:hint="eastAsia" w:ascii="仿宋_GB2312" w:eastAsia="仿宋_GB2312"/>
          <w:sz w:val="32"/>
          <w:szCs w:val="32"/>
        </w:rPr>
        <w:t>切实加强组织领导。明确两名主管领导，分别从政府信息内容与对外宣传形式两个角度全面抓好政府信息公开工作。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2.主动公开情况</w:t>
      </w:r>
      <w:r>
        <w:rPr>
          <w:rFonts w:hint="eastAsia" w:ascii="仿宋_GB2312" w:eastAsia="仿宋_GB2312"/>
          <w:sz w:val="32"/>
          <w:szCs w:val="32"/>
          <w:lang w:eastAsia="zh-CN"/>
        </w:rPr>
        <w:t>。</w:t>
      </w:r>
      <w:r>
        <w:rPr>
          <w:rFonts w:hint="eastAsia" w:ascii="仿宋_GB2312" w:eastAsia="仿宋_GB2312"/>
          <w:sz w:val="32"/>
          <w:szCs w:val="32"/>
        </w:rPr>
        <w:t>一方面丰富公开内容，动态调整《政府信息全清单》、《政府信息主动公开全清单》，落实《北京市大兴区2020年政务公开工作要点》，对群众密切关注热棚户区改造、集租房、共有产权房项目加大公开力度；另一方面拓宽公开渠道，实现区政府网站、区住建委微信微博等多平台同步公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3.依申请公开情况</w:t>
      </w:r>
      <w:r>
        <w:rPr>
          <w:rFonts w:hint="eastAsia" w:ascii="仿宋_GB2312" w:eastAsia="仿宋_GB2312"/>
          <w:sz w:val="32"/>
          <w:szCs w:val="32"/>
          <w:lang w:eastAsia="zh-CN"/>
        </w:rPr>
        <w:t>。</w:t>
      </w:r>
      <w:r>
        <w:rPr>
          <w:rFonts w:hint="eastAsia" w:ascii="仿宋_GB2312" w:eastAsia="仿宋_GB2312"/>
          <w:sz w:val="32"/>
          <w:szCs w:val="32"/>
        </w:rPr>
        <w:t>本年度住建委完善依申请公开受理机制，修订《政府信息公开指南》，畅通信息公开申请渠道，完善政府信息获取流程，建立健全政府存留信息目录。</w:t>
      </w:r>
      <w:r>
        <w:rPr>
          <w:rFonts w:ascii="仿宋_GB2312" w:eastAsia="仿宋_GB2312"/>
          <w:sz w:val="32"/>
          <w:szCs w:val="32"/>
        </w:rPr>
        <w:t>20</w:t>
      </w:r>
      <w:r>
        <w:rPr>
          <w:rFonts w:hint="eastAsia" w:ascii="仿宋_GB2312" w:eastAsia="仿宋_GB2312"/>
          <w:sz w:val="32"/>
          <w:szCs w:val="32"/>
          <w:lang w:val="en-US" w:eastAsia="zh-CN"/>
        </w:rPr>
        <w:t>20</w:t>
      </w:r>
      <w:r>
        <w:rPr>
          <w:rFonts w:ascii="仿宋_GB2312" w:eastAsia="仿宋_GB2312"/>
          <w:sz w:val="32"/>
          <w:szCs w:val="32"/>
        </w:rPr>
        <w:t>年截至目前，住建委收到依申请公开</w:t>
      </w:r>
      <w:r>
        <w:rPr>
          <w:rFonts w:hint="eastAsia" w:ascii="仿宋_GB2312" w:eastAsia="仿宋_GB2312"/>
          <w:sz w:val="32"/>
          <w:szCs w:val="32"/>
          <w:lang w:val="en-US" w:eastAsia="zh-CN"/>
        </w:rPr>
        <w:t>172</w:t>
      </w:r>
      <w:r>
        <w:rPr>
          <w:rFonts w:ascii="仿宋_GB2312" w:eastAsia="仿宋_GB2312"/>
          <w:sz w:val="32"/>
          <w:szCs w:val="32"/>
        </w:rPr>
        <w:t>件，申请数量较去年持平。涉及拆迁</w:t>
      </w:r>
      <w:r>
        <w:rPr>
          <w:rFonts w:hint="eastAsia" w:ascii="仿宋_GB2312" w:eastAsia="仿宋_GB2312"/>
          <w:sz w:val="32"/>
          <w:szCs w:val="32"/>
          <w:lang w:eastAsia="zh-CN"/>
        </w:rPr>
        <w:t>领域</w:t>
      </w:r>
      <w:r>
        <w:rPr>
          <w:rFonts w:hint="eastAsia" w:ascii="仿宋_GB2312" w:eastAsia="仿宋_GB2312"/>
          <w:color w:val="auto"/>
          <w:sz w:val="32"/>
          <w:szCs w:val="32"/>
          <w:lang w:val="en-US" w:eastAsia="zh-CN"/>
        </w:rPr>
        <w:t>99</w:t>
      </w:r>
      <w:r>
        <w:rPr>
          <w:rFonts w:ascii="仿宋_GB2312" w:eastAsia="仿宋_GB2312"/>
          <w:color w:val="auto"/>
          <w:sz w:val="32"/>
          <w:szCs w:val="32"/>
        </w:rPr>
        <w:t>件、工程建设领域</w:t>
      </w:r>
      <w:r>
        <w:rPr>
          <w:rFonts w:hint="eastAsia" w:ascii="仿宋_GB2312" w:eastAsia="仿宋_GB2312"/>
          <w:color w:val="auto"/>
          <w:sz w:val="32"/>
          <w:szCs w:val="32"/>
          <w:lang w:val="en-US" w:eastAsia="zh-CN"/>
        </w:rPr>
        <w:t>16</w:t>
      </w:r>
      <w:r>
        <w:rPr>
          <w:rFonts w:ascii="仿宋_GB2312" w:eastAsia="仿宋_GB2312"/>
          <w:color w:val="auto"/>
          <w:sz w:val="32"/>
          <w:szCs w:val="32"/>
        </w:rPr>
        <w:t>件、物业服务领域</w:t>
      </w:r>
      <w:r>
        <w:rPr>
          <w:rFonts w:hint="eastAsia" w:ascii="仿宋_GB2312" w:eastAsia="仿宋_GB2312"/>
          <w:color w:val="auto"/>
          <w:sz w:val="32"/>
          <w:szCs w:val="32"/>
          <w:lang w:val="en-US" w:eastAsia="zh-CN"/>
        </w:rPr>
        <w:t>9</w:t>
      </w:r>
      <w:r>
        <w:rPr>
          <w:rFonts w:ascii="仿宋_GB2312" w:eastAsia="仿宋_GB2312"/>
          <w:color w:val="auto"/>
          <w:sz w:val="32"/>
          <w:szCs w:val="32"/>
        </w:rPr>
        <w:t>件、房地产开发领域</w:t>
      </w:r>
      <w:r>
        <w:rPr>
          <w:rFonts w:hint="eastAsia" w:ascii="仿宋_GB2312" w:eastAsia="仿宋_GB2312"/>
          <w:color w:val="auto"/>
          <w:sz w:val="32"/>
          <w:szCs w:val="32"/>
          <w:lang w:val="en-US" w:eastAsia="zh-CN"/>
        </w:rPr>
        <w:t>26</w:t>
      </w:r>
      <w:r>
        <w:rPr>
          <w:rFonts w:ascii="仿宋_GB2312" w:eastAsia="仿宋_GB2312"/>
          <w:color w:val="auto"/>
          <w:sz w:val="32"/>
          <w:szCs w:val="32"/>
        </w:rPr>
        <w:t>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4.政府信息管理情况</w:t>
      </w:r>
      <w:r>
        <w:rPr>
          <w:rFonts w:hint="eastAsia" w:ascii="仿宋_GB2312" w:eastAsia="仿宋_GB2312"/>
          <w:sz w:val="32"/>
          <w:szCs w:val="32"/>
          <w:lang w:eastAsia="zh-CN"/>
        </w:rPr>
        <w:t>。</w:t>
      </w:r>
      <w:r>
        <w:rPr>
          <w:rFonts w:hint="eastAsia" w:ascii="仿宋_GB2312" w:eastAsia="仿宋_GB2312"/>
          <w:sz w:val="32"/>
          <w:szCs w:val="32"/>
        </w:rPr>
        <w:t>修订《政府信息公开工作管理制度》，与时俱进提高工作要求；实施《宣传、政务信息工作考核办法》，进一步压实工作责任。</w:t>
      </w:r>
    </w:p>
    <w:p>
      <w:pPr>
        <w:spacing w:line="560" w:lineRule="exact"/>
        <w:ind w:firstLine="640" w:firstLineChars="200"/>
        <w:rPr>
          <w:rFonts w:hint="eastAsia" w:ascii="仿宋_GB2312" w:hAnsi="宋体" w:eastAsia="仿宋_GB2312" w:cs="宋体"/>
          <w:spacing w:val="8"/>
          <w:kern w:val="0"/>
          <w:sz w:val="32"/>
          <w:szCs w:val="32"/>
        </w:rPr>
      </w:pPr>
      <w:r>
        <w:rPr>
          <w:rFonts w:hint="eastAsia" w:ascii="仿宋_GB2312" w:eastAsia="仿宋_GB2312"/>
          <w:sz w:val="32"/>
          <w:szCs w:val="32"/>
        </w:rPr>
        <w:t>5.平台建设情况</w:t>
      </w:r>
      <w:r>
        <w:rPr>
          <w:rFonts w:hint="eastAsia" w:ascii="仿宋_GB2312" w:eastAsia="仿宋_GB2312"/>
          <w:sz w:val="32"/>
          <w:szCs w:val="32"/>
          <w:lang w:eastAsia="zh-CN"/>
        </w:rPr>
        <w:t>。</w:t>
      </w:r>
      <w:r>
        <w:rPr>
          <w:rFonts w:hint="eastAsia" w:ascii="仿宋_GB2312" w:eastAsia="仿宋_GB2312"/>
          <w:sz w:val="32"/>
          <w:szCs w:val="32"/>
        </w:rPr>
        <w:t>加强新媒体等平台建设。一是丰富宣传内容。我委微信、微博推文从文章可读性、市民关注度、媒体关注度等多个层面得到了提升，学习强国、北京日报、澎湃新闻、大兴这些事儿等中央、市、区三级新媒体平台都对我委政务新媒体推文进行过转发，对市民了解我委工作起到了积极的引导作用，同时也展现了我委员工良好的精神面貌和优良的工作作风。</w:t>
      </w:r>
      <w:r>
        <w:rPr>
          <w:rFonts w:hint="eastAsia" w:ascii="仿宋_GB2312" w:hAnsi="Times New Roman" w:eastAsia="仿宋_GB2312" w:cs="Times New Roman"/>
          <w:spacing w:val="0"/>
          <w:kern w:val="2"/>
          <w:sz w:val="32"/>
          <w:szCs w:val="32"/>
        </w:rPr>
        <w:t>二是</w:t>
      </w:r>
      <w:r>
        <w:rPr>
          <w:rFonts w:hint="eastAsia" w:ascii="仿宋_GB2312" w:hAnsi="Times New Roman" w:eastAsia="仿宋_GB2312" w:cs="Times New Roman"/>
          <w:color w:val="auto"/>
          <w:sz w:val="32"/>
          <w:szCs w:val="32"/>
        </w:rPr>
        <w:t>创新宣传形式</w:t>
      </w:r>
      <w:r>
        <w:rPr>
          <w:rFonts w:hint="eastAsia" w:ascii="仿宋_GB2312" w:eastAsia="仿宋_GB2312" w:cs="Times New Roman"/>
          <w:sz w:val="32"/>
          <w:szCs w:val="32"/>
          <w:lang w:eastAsia="zh-CN"/>
        </w:rPr>
        <w:t>。</w:t>
      </w:r>
      <w:r>
        <w:rPr>
          <w:rFonts w:hint="eastAsia" w:ascii="仿宋_GB2312" w:hAnsi="黑体" w:eastAsia="仿宋_GB2312" w:cs="仿宋_GB2312"/>
          <w:color w:val="000000" w:themeColor="text1"/>
          <w:sz w:val="32"/>
          <w:szCs w:val="32"/>
          <w14:textFill>
            <w14:solidFill>
              <w14:schemeClr w14:val="tx1"/>
            </w14:solidFill>
          </w14:textFill>
        </w:rPr>
        <w:t>通过短视频方式，先后从物业管理条例、业委会选举、老楼加梯、老旧小区改造等方面，运用通俗易懂的语言，采用群众喜闻乐见的形式，解读民生政策。</w:t>
      </w:r>
      <w:r>
        <w:rPr>
          <w:rFonts w:hint="eastAsia" w:ascii="仿宋_GB2312" w:hAnsi="黑体" w:eastAsia="仿宋_GB2312" w:cs="仿宋_GB2312"/>
          <w:color w:val="000000" w:themeColor="text1"/>
          <w:spacing w:val="0"/>
          <w:kern w:val="2"/>
          <w:sz w:val="32"/>
          <w:szCs w:val="32"/>
          <w14:textFill>
            <w14:solidFill>
              <w14:schemeClr w14:val="tx1"/>
            </w14:solidFill>
          </w14:textFill>
        </w:rPr>
        <w:t>三是强化政民互动。</w:t>
      </w:r>
      <w:r>
        <w:rPr>
          <w:rFonts w:hint="eastAsia" w:ascii="仿宋_GB2312" w:hAnsi="宋体" w:eastAsia="仿宋_GB2312" w:cs="宋体"/>
          <w:spacing w:val="8"/>
          <w:kern w:val="0"/>
          <w:sz w:val="32"/>
          <w:szCs w:val="32"/>
        </w:rPr>
        <w:t>在政务微博、微信平台积极响应群众诉求，及时受理，提高解决问题的效率，减少不必要的步骤，拉近政民距离；举办政务开放日活动，邀请政协、群众、媒体、企业等社会各阶层参观住建委日常工作中来。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6.教育培训情况</w:t>
      </w:r>
      <w:r>
        <w:rPr>
          <w:rFonts w:hint="eastAsia" w:ascii="仿宋_GB2312" w:eastAsia="仿宋_GB2312"/>
          <w:sz w:val="32"/>
          <w:szCs w:val="32"/>
          <w:lang w:eastAsia="zh-CN"/>
        </w:rPr>
        <w:t>。</w:t>
      </w:r>
      <w:r>
        <w:rPr>
          <w:rFonts w:hint="eastAsia" w:ascii="仿宋_GB2312" w:eastAsia="仿宋_GB2312"/>
          <w:sz w:val="32"/>
          <w:szCs w:val="32"/>
        </w:rPr>
        <w:t>以“公开为常态，不公开为例外”为原则，逐项督促指导科室制定《政府信息全清单》；主动指导申请人填写信息公开申请，提高申请的精确度，提高办理效率。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7.监督保障情况</w:t>
      </w:r>
      <w:r>
        <w:rPr>
          <w:rFonts w:hint="eastAsia" w:ascii="仿宋_GB2312" w:eastAsia="仿宋_GB2312"/>
          <w:sz w:val="32"/>
          <w:szCs w:val="32"/>
          <w:lang w:eastAsia="zh-CN"/>
        </w:rPr>
        <w:t>。</w:t>
      </w:r>
      <w:r>
        <w:rPr>
          <w:rFonts w:hint="eastAsia" w:ascii="仿宋_GB2312" w:eastAsia="仿宋_GB2312"/>
          <w:sz w:val="32"/>
          <w:szCs w:val="32"/>
        </w:rPr>
        <w:t>建立《政务微博微信管理办法》，制定《突发事件新闻发布工作方案》、《新闻宣传工作管理暂行规定》，为规范信息公开等提供了有力的制度保障。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二、主动公开政府信息情况</w:t>
      </w:r>
    </w:p>
    <w:tbl>
      <w:tblPr>
        <w:tblStyle w:val="7"/>
        <w:tblW w:w="8613" w:type="dxa"/>
        <w:jc w:val="center"/>
        <w:tblInd w:w="0" w:type="dxa"/>
        <w:tblLayout w:type="fixed"/>
        <w:tblCellMar>
          <w:top w:w="0" w:type="dxa"/>
          <w:left w:w="108" w:type="dxa"/>
          <w:bottom w:w="0" w:type="dxa"/>
          <w:right w:w="108" w:type="dxa"/>
        </w:tblCellMar>
      </w:tblPr>
      <w:tblGrid>
        <w:gridCol w:w="1572"/>
        <w:gridCol w:w="1230"/>
        <w:gridCol w:w="2175"/>
        <w:gridCol w:w="1887"/>
        <w:gridCol w:w="1749"/>
      </w:tblGrid>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noWrap/>
            <w:vAlign w:val="center"/>
          </w:tcPr>
          <w:p>
            <w:pPr>
              <w:jc w:val="center"/>
            </w:pPr>
            <w:r>
              <w:rPr>
                <w:rFonts w:hint="eastAsia"/>
              </w:rPr>
              <w:t>第二十条第（一）项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ign w:val="center"/>
          </w:tcPr>
          <w:p>
            <w:pPr>
              <w:jc w:val="center"/>
            </w:pPr>
            <w:r>
              <w:rPr>
                <w:rFonts w:hint="eastAsia"/>
              </w:rPr>
              <w:t>信息内容</w:t>
            </w:r>
          </w:p>
        </w:tc>
        <w:tc>
          <w:tcPr>
            <w:tcW w:w="2175" w:type="dxa"/>
            <w:tcBorders>
              <w:top w:val="nil"/>
              <w:left w:val="nil"/>
              <w:bottom w:val="single" w:color="auto" w:sz="4" w:space="0"/>
              <w:right w:val="single" w:color="auto" w:sz="4" w:space="0"/>
            </w:tcBorders>
            <w:shd w:val="clear" w:color="auto" w:fill="BDD6EE"/>
            <w:noWrap/>
            <w:vAlign w:val="center"/>
          </w:tcPr>
          <w:p>
            <w:pPr>
              <w:jc w:val="center"/>
            </w:pPr>
            <w:r>
              <w:rPr>
                <w:rFonts w:hint="eastAsia"/>
              </w:rPr>
              <w:t>本年新制作数量</w:t>
            </w:r>
          </w:p>
        </w:tc>
        <w:tc>
          <w:tcPr>
            <w:tcW w:w="1887" w:type="dxa"/>
            <w:tcBorders>
              <w:top w:val="nil"/>
              <w:left w:val="nil"/>
              <w:bottom w:val="single" w:color="auto" w:sz="4" w:space="0"/>
              <w:right w:val="single" w:color="auto" w:sz="4" w:space="0"/>
            </w:tcBorders>
            <w:shd w:val="clear" w:color="auto" w:fill="BDD6EE"/>
            <w:noWrap/>
            <w:vAlign w:val="center"/>
          </w:tcPr>
          <w:p>
            <w:pPr>
              <w:jc w:val="center"/>
            </w:pPr>
            <w:r>
              <w:rPr>
                <w:rFonts w:hint="eastAsia"/>
              </w:rPr>
              <w:t>本年新公开数量</w:t>
            </w:r>
          </w:p>
        </w:tc>
        <w:tc>
          <w:tcPr>
            <w:tcW w:w="1749" w:type="dxa"/>
            <w:tcBorders>
              <w:top w:val="nil"/>
              <w:left w:val="nil"/>
              <w:bottom w:val="single" w:color="auto" w:sz="4" w:space="0"/>
              <w:right w:val="single" w:color="auto" w:sz="4" w:space="0"/>
            </w:tcBorders>
            <w:shd w:val="clear" w:color="auto" w:fill="BDD6EE"/>
            <w:noWrap/>
            <w:vAlign w:val="center"/>
          </w:tcPr>
          <w:p>
            <w:pPr>
              <w:jc w:val="center"/>
            </w:pPr>
            <w:r>
              <w:rPr>
                <w:rFonts w:hint="eastAsia"/>
              </w:rPr>
              <w:t>对外公开总数量</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ign w:val="center"/>
          </w:tcPr>
          <w:p>
            <w:pPr>
              <w:jc w:val="center"/>
            </w:pPr>
            <w:r>
              <w:rPr>
                <w:rFonts w:hint="eastAsia"/>
              </w:rPr>
              <w:t>规章</w:t>
            </w:r>
          </w:p>
        </w:tc>
        <w:tc>
          <w:tcPr>
            <w:tcW w:w="2175" w:type="dxa"/>
            <w:tcBorders>
              <w:top w:val="nil"/>
              <w:left w:val="nil"/>
              <w:bottom w:val="single" w:color="auto" w:sz="4" w:space="0"/>
              <w:right w:val="single" w:color="auto" w:sz="4" w:space="0"/>
            </w:tcBorders>
            <w:noWrap/>
            <w:vAlign w:val="center"/>
          </w:tcPr>
          <w:p>
            <w:pPr>
              <w:jc w:val="center"/>
            </w:pPr>
            <w:r>
              <w:rPr>
                <w:rFonts w:hint="eastAsia"/>
                <w:szCs w:val="22"/>
              </w:rPr>
              <w:t>0</w:t>
            </w:r>
          </w:p>
        </w:tc>
        <w:tc>
          <w:tcPr>
            <w:tcW w:w="1887" w:type="dxa"/>
            <w:tcBorders>
              <w:top w:val="nil"/>
              <w:left w:val="nil"/>
              <w:bottom w:val="single" w:color="auto" w:sz="4" w:space="0"/>
              <w:right w:val="single" w:color="auto" w:sz="4" w:space="0"/>
            </w:tcBorders>
            <w:noWrap/>
            <w:vAlign w:val="center"/>
          </w:tcPr>
          <w:p>
            <w:pPr>
              <w:jc w:val="center"/>
            </w:pPr>
            <w:r>
              <w:rPr>
                <w:rFonts w:hint="eastAsia"/>
              </w:rPr>
              <w:t>0</w:t>
            </w:r>
          </w:p>
        </w:tc>
        <w:tc>
          <w:tcPr>
            <w:tcW w:w="1749" w:type="dxa"/>
            <w:tcBorders>
              <w:top w:val="nil"/>
              <w:left w:val="nil"/>
              <w:bottom w:val="single" w:color="auto" w:sz="4" w:space="0"/>
              <w:right w:val="single" w:color="auto" w:sz="4" w:space="0"/>
            </w:tcBorders>
            <w:noWrap/>
            <w:vAlign w:val="center"/>
          </w:tcPr>
          <w:p>
            <w:pPr>
              <w:jc w:val="center"/>
              <w:rPr>
                <w:rFonts w:hint="default" w:eastAsia="宋体"/>
                <w:lang w:val="en-US" w:eastAsia="zh-CN"/>
              </w:rPr>
            </w:pPr>
            <w:r>
              <w:rPr>
                <w:rFonts w:hint="eastAsia"/>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ign w:val="center"/>
          </w:tcPr>
          <w:p>
            <w:pPr>
              <w:jc w:val="center"/>
              <w:rPr>
                <w:rFonts w:hint="eastAsia"/>
                <w:szCs w:val="22"/>
              </w:rPr>
            </w:pPr>
            <w:r>
              <w:rPr>
                <w:rFonts w:hint="eastAsia"/>
                <w:szCs w:val="22"/>
              </w:rPr>
              <w:t>规范性文件</w:t>
            </w:r>
          </w:p>
        </w:tc>
        <w:tc>
          <w:tcPr>
            <w:tcW w:w="2175" w:type="dxa"/>
            <w:tcBorders>
              <w:top w:val="nil"/>
              <w:left w:val="nil"/>
              <w:bottom w:val="single" w:color="auto" w:sz="4" w:space="0"/>
              <w:right w:val="single" w:color="auto" w:sz="4" w:space="0"/>
            </w:tcBorders>
            <w:noWrap/>
            <w:vAlign w:val="center"/>
          </w:tcPr>
          <w:p>
            <w:pPr>
              <w:jc w:val="center"/>
              <w:rPr>
                <w:rFonts w:hint="eastAsia" w:eastAsia="宋体"/>
                <w:color w:val="auto"/>
                <w:szCs w:val="22"/>
                <w:lang w:val="en-US" w:eastAsia="zh-CN"/>
              </w:rPr>
            </w:pPr>
            <w:r>
              <w:rPr>
                <w:rFonts w:hint="eastAsia"/>
                <w:color w:val="auto"/>
                <w:szCs w:val="22"/>
                <w:lang w:eastAsia="zh-CN"/>
              </w:rPr>
              <w:t>0</w:t>
            </w:r>
          </w:p>
        </w:tc>
        <w:tc>
          <w:tcPr>
            <w:tcW w:w="1887" w:type="dxa"/>
            <w:tcBorders>
              <w:top w:val="nil"/>
              <w:left w:val="nil"/>
              <w:bottom w:val="single" w:color="auto" w:sz="4" w:space="0"/>
              <w:right w:val="single" w:color="auto" w:sz="4" w:space="0"/>
            </w:tcBorders>
            <w:noWrap/>
            <w:vAlign w:val="center"/>
          </w:tcPr>
          <w:p>
            <w:pPr>
              <w:jc w:val="center"/>
              <w:rPr>
                <w:rFonts w:hint="eastAsia" w:eastAsia="宋体"/>
                <w:color w:val="auto"/>
                <w:szCs w:val="22"/>
                <w:lang w:val="en-US" w:eastAsia="zh-CN"/>
              </w:rPr>
            </w:pPr>
            <w:r>
              <w:rPr>
                <w:rFonts w:hint="eastAsia"/>
                <w:color w:val="auto"/>
                <w:szCs w:val="22"/>
                <w:lang w:eastAsia="zh-CN"/>
              </w:rPr>
              <w:t>0</w:t>
            </w:r>
          </w:p>
        </w:tc>
        <w:tc>
          <w:tcPr>
            <w:tcW w:w="1749" w:type="dxa"/>
            <w:tcBorders>
              <w:top w:val="nil"/>
              <w:left w:val="nil"/>
              <w:bottom w:val="single" w:color="auto" w:sz="4" w:space="0"/>
              <w:right w:val="single" w:color="auto" w:sz="4" w:space="0"/>
            </w:tcBorders>
            <w:noWrap/>
            <w:vAlign w:val="center"/>
          </w:tcPr>
          <w:p>
            <w:pPr>
              <w:jc w:val="center"/>
              <w:rPr>
                <w:rFonts w:hint="default"/>
                <w:color w:val="auto"/>
                <w:szCs w:val="22"/>
                <w:lang w:val="en-US" w:eastAsia="zh-CN"/>
              </w:rPr>
            </w:pPr>
            <w:r>
              <w:rPr>
                <w:rFonts w:hint="eastAsia"/>
                <w:color w:val="auto"/>
                <w:szCs w:val="22"/>
                <w:lang w:val="en-US" w:eastAsia="zh-CN"/>
              </w:rPr>
              <w:t>17</w:t>
            </w:r>
          </w:p>
        </w:tc>
      </w:tr>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noWrap/>
            <w:vAlign w:val="center"/>
          </w:tcPr>
          <w:p>
            <w:pPr>
              <w:jc w:val="center"/>
            </w:pPr>
            <w:r>
              <w:rPr>
                <w:rFonts w:hint="eastAsia"/>
              </w:rPr>
              <w:t>第二十条第（五）项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ign w:val="center"/>
          </w:tcPr>
          <w:p>
            <w:pPr>
              <w:jc w:val="center"/>
            </w:pPr>
            <w:r>
              <w:rPr>
                <w:rFonts w:hint="eastAsia"/>
              </w:rPr>
              <w:t>信息内容</w:t>
            </w:r>
          </w:p>
        </w:tc>
        <w:tc>
          <w:tcPr>
            <w:tcW w:w="2175" w:type="dxa"/>
            <w:tcBorders>
              <w:top w:val="nil"/>
              <w:left w:val="nil"/>
              <w:bottom w:val="single" w:color="auto" w:sz="4" w:space="0"/>
              <w:right w:val="single" w:color="auto" w:sz="4" w:space="0"/>
            </w:tcBorders>
            <w:shd w:val="clear" w:color="auto" w:fill="BDD6EE"/>
            <w:noWrap/>
            <w:vAlign w:val="center"/>
          </w:tcPr>
          <w:p>
            <w:pPr>
              <w:jc w:val="center"/>
            </w:pPr>
            <w:r>
              <w:rPr>
                <w:rFonts w:hint="eastAsia"/>
              </w:rPr>
              <w:t>上一年项目数量</w:t>
            </w:r>
          </w:p>
        </w:tc>
        <w:tc>
          <w:tcPr>
            <w:tcW w:w="1887" w:type="dxa"/>
            <w:tcBorders>
              <w:top w:val="nil"/>
              <w:left w:val="nil"/>
              <w:bottom w:val="single" w:color="auto" w:sz="4" w:space="0"/>
              <w:right w:val="single" w:color="auto" w:sz="4" w:space="0"/>
            </w:tcBorders>
            <w:shd w:val="clear" w:color="auto" w:fill="BDD6EE"/>
            <w:noWrap/>
            <w:vAlign w:val="center"/>
          </w:tcPr>
          <w:p>
            <w:pPr>
              <w:jc w:val="center"/>
            </w:pPr>
            <w:r>
              <w:rPr>
                <w:rFonts w:hint="eastAsia"/>
              </w:rPr>
              <w:t>本年增/减</w:t>
            </w:r>
          </w:p>
        </w:tc>
        <w:tc>
          <w:tcPr>
            <w:tcW w:w="1749" w:type="dxa"/>
            <w:tcBorders>
              <w:top w:val="nil"/>
              <w:left w:val="nil"/>
              <w:bottom w:val="single" w:color="auto" w:sz="4" w:space="0"/>
              <w:right w:val="single" w:color="auto" w:sz="4" w:space="0"/>
            </w:tcBorders>
            <w:shd w:val="clear" w:color="auto" w:fill="BDD6EE"/>
            <w:noWrap/>
            <w:vAlign w:val="center"/>
          </w:tcPr>
          <w:p>
            <w:pPr>
              <w:jc w:val="center"/>
            </w:pPr>
            <w:r>
              <w:rPr>
                <w:rFonts w:hint="eastAsia"/>
              </w:rPr>
              <w:t>处理决定数量</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ign w:val="center"/>
          </w:tcPr>
          <w:p>
            <w:pPr>
              <w:jc w:val="center"/>
            </w:pPr>
            <w:r>
              <w:rPr>
                <w:rFonts w:hint="eastAsia"/>
              </w:rPr>
              <w:t>行政许可</w:t>
            </w:r>
          </w:p>
        </w:tc>
        <w:tc>
          <w:tcPr>
            <w:tcW w:w="2175" w:type="dxa"/>
            <w:tcBorders>
              <w:top w:val="nil"/>
              <w:left w:val="nil"/>
              <w:bottom w:val="single" w:color="auto" w:sz="4" w:space="0"/>
              <w:right w:val="single" w:color="auto" w:sz="4" w:space="0"/>
            </w:tcBorders>
            <w:noWrap/>
            <w:vAlign w:val="center"/>
          </w:tcPr>
          <w:p>
            <w:pPr>
              <w:jc w:val="center"/>
            </w:pPr>
            <w:r>
              <w:rPr>
                <w:rFonts w:hint="eastAsia"/>
              </w:rPr>
              <w:t>7</w:t>
            </w:r>
          </w:p>
        </w:tc>
        <w:tc>
          <w:tcPr>
            <w:tcW w:w="1887" w:type="dxa"/>
            <w:tcBorders>
              <w:top w:val="nil"/>
              <w:left w:val="nil"/>
              <w:bottom w:val="single" w:color="auto" w:sz="4" w:space="0"/>
              <w:right w:val="single" w:color="auto" w:sz="4" w:space="0"/>
            </w:tcBorders>
            <w:noWrap/>
            <w:vAlign w:val="center"/>
          </w:tcPr>
          <w:p>
            <w:pPr>
              <w:jc w:val="center"/>
            </w:pPr>
            <w:r>
              <w:rPr>
                <w:rFonts w:hint="eastAsia"/>
              </w:rPr>
              <w:t>0</w:t>
            </w:r>
          </w:p>
        </w:tc>
        <w:tc>
          <w:tcPr>
            <w:tcW w:w="1749" w:type="dxa"/>
            <w:tcBorders>
              <w:top w:val="nil"/>
              <w:left w:val="nil"/>
              <w:bottom w:val="single" w:color="auto" w:sz="4" w:space="0"/>
              <w:right w:val="single" w:color="auto" w:sz="4" w:space="0"/>
            </w:tcBorders>
            <w:noWrap/>
            <w:vAlign w:val="center"/>
          </w:tcPr>
          <w:p>
            <w:pPr>
              <w:jc w:val="center"/>
            </w:pPr>
            <w:r>
              <w:rPr>
                <w:rFonts w:hint="eastAsia"/>
              </w:rPr>
              <w:t>382</w:t>
            </w:r>
          </w:p>
        </w:tc>
      </w:tr>
      <w:tr>
        <w:tblPrEx>
          <w:tblLayout w:type="fixed"/>
          <w:tblCellMar>
            <w:top w:w="0" w:type="dxa"/>
            <w:left w:w="108" w:type="dxa"/>
            <w:bottom w:w="0" w:type="dxa"/>
            <w:right w:w="108" w:type="dxa"/>
          </w:tblCellMar>
        </w:tblPrEx>
        <w:trPr>
          <w:trHeight w:val="454" w:hRule="atLeast"/>
          <w:jc w:val="center"/>
        </w:trPr>
        <w:tc>
          <w:tcPr>
            <w:tcW w:w="1572" w:type="dxa"/>
            <w:vMerge w:val="restart"/>
            <w:tcBorders>
              <w:top w:val="nil"/>
              <w:left w:val="single" w:color="auto" w:sz="4" w:space="0"/>
              <w:right w:val="single" w:color="auto" w:sz="4" w:space="0"/>
            </w:tcBorders>
            <w:shd w:val="clear" w:color="auto" w:fill="9CC2E5"/>
            <w:noWrap/>
            <w:vAlign w:val="center"/>
          </w:tcPr>
          <w:p>
            <w:pPr>
              <w:jc w:val="center"/>
            </w:pPr>
            <w:r>
              <w:rPr>
                <w:rFonts w:hint="eastAsia"/>
              </w:rPr>
              <w:t>其他对外管理服务事项</w:t>
            </w:r>
          </w:p>
        </w:tc>
        <w:tc>
          <w:tcPr>
            <w:tcW w:w="1230" w:type="dxa"/>
            <w:tcBorders>
              <w:top w:val="nil"/>
              <w:left w:val="single" w:color="auto" w:sz="4" w:space="0"/>
              <w:bottom w:val="single" w:color="000000" w:sz="4" w:space="0"/>
              <w:right w:val="single" w:color="auto" w:sz="4" w:space="0"/>
            </w:tcBorders>
            <w:shd w:val="clear" w:color="auto" w:fill="9CC2E5"/>
            <w:noWrap/>
            <w:vAlign w:val="center"/>
          </w:tcPr>
          <w:p>
            <w:pPr>
              <w:jc w:val="center"/>
            </w:pPr>
            <w:r>
              <w:rPr>
                <w:rFonts w:hint="eastAsia"/>
              </w:rPr>
              <w:t>行政</w:t>
            </w:r>
            <w:r>
              <w:t>检查</w:t>
            </w:r>
          </w:p>
        </w:tc>
        <w:tc>
          <w:tcPr>
            <w:tcW w:w="2175" w:type="dxa"/>
            <w:tcBorders>
              <w:top w:val="nil"/>
              <w:left w:val="nil"/>
              <w:bottom w:val="single" w:color="auto" w:sz="4" w:space="0"/>
              <w:right w:val="single" w:color="auto" w:sz="4" w:space="0"/>
            </w:tcBorders>
            <w:noWrap/>
            <w:vAlign w:val="center"/>
          </w:tcPr>
          <w:p>
            <w:pPr>
              <w:jc w:val="center"/>
            </w:pPr>
            <w:r>
              <w:rPr>
                <w:rFonts w:hint="eastAsia"/>
              </w:rPr>
              <w:t>4</w:t>
            </w:r>
          </w:p>
        </w:tc>
        <w:tc>
          <w:tcPr>
            <w:tcW w:w="1887" w:type="dxa"/>
            <w:tcBorders>
              <w:top w:val="nil"/>
              <w:left w:val="nil"/>
              <w:bottom w:val="single" w:color="auto" w:sz="4" w:space="0"/>
              <w:right w:val="single" w:color="auto" w:sz="4" w:space="0"/>
            </w:tcBorders>
            <w:noWrap/>
            <w:vAlign w:val="center"/>
          </w:tcPr>
          <w:p>
            <w:pPr>
              <w:jc w:val="center"/>
            </w:pPr>
            <w:r>
              <w:rPr>
                <w:rFonts w:hint="eastAsia"/>
              </w:rPr>
              <w:t>0</w:t>
            </w:r>
          </w:p>
        </w:tc>
        <w:tc>
          <w:tcPr>
            <w:tcW w:w="1749" w:type="dxa"/>
            <w:tcBorders>
              <w:top w:val="nil"/>
              <w:left w:val="nil"/>
              <w:bottom w:val="single" w:color="auto" w:sz="4" w:space="0"/>
              <w:right w:val="single" w:color="auto" w:sz="4" w:space="0"/>
            </w:tcBorders>
            <w:noWrap/>
            <w:vAlign w:val="center"/>
          </w:tcPr>
          <w:p>
            <w:pPr>
              <w:jc w:val="center"/>
            </w:pPr>
            <w:r>
              <w:rPr>
                <w:rFonts w:hint="eastAsia"/>
              </w:rPr>
              <w:t>3095</w:t>
            </w:r>
          </w:p>
        </w:tc>
      </w:tr>
      <w:tr>
        <w:tblPrEx>
          <w:tblLayout w:type="fixed"/>
          <w:tblCellMar>
            <w:top w:w="0" w:type="dxa"/>
            <w:left w:w="108" w:type="dxa"/>
            <w:bottom w:w="0" w:type="dxa"/>
            <w:right w:w="108" w:type="dxa"/>
          </w:tblCellMar>
        </w:tblPrEx>
        <w:trPr>
          <w:trHeight w:val="454" w:hRule="atLeast"/>
          <w:jc w:val="center"/>
        </w:trPr>
        <w:tc>
          <w:tcPr>
            <w:tcW w:w="1572" w:type="dxa"/>
            <w:vMerge w:val="continue"/>
            <w:tcBorders>
              <w:left w:val="single" w:color="auto" w:sz="4" w:space="0"/>
              <w:bottom w:val="single" w:color="000000" w:sz="4" w:space="0"/>
              <w:right w:val="single" w:color="auto" w:sz="4" w:space="0"/>
            </w:tcBorders>
            <w:shd w:val="clear" w:color="auto" w:fill="9CC2E5"/>
            <w:noWrap/>
            <w:vAlign w:val="center"/>
          </w:tcPr>
          <w:p>
            <w:pPr>
              <w:jc w:val="center"/>
            </w:pPr>
          </w:p>
        </w:tc>
        <w:tc>
          <w:tcPr>
            <w:tcW w:w="1230" w:type="dxa"/>
            <w:tcBorders>
              <w:top w:val="nil"/>
              <w:left w:val="single" w:color="auto" w:sz="4" w:space="0"/>
              <w:bottom w:val="single" w:color="000000" w:sz="4" w:space="0"/>
              <w:right w:val="single" w:color="auto" w:sz="4" w:space="0"/>
            </w:tcBorders>
            <w:shd w:val="clear" w:color="auto" w:fill="9CC2E5"/>
            <w:noWrap/>
            <w:vAlign w:val="center"/>
          </w:tcPr>
          <w:p>
            <w:pPr>
              <w:jc w:val="center"/>
            </w:pPr>
            <w:r>
              <w:rPr>
                <w:rFonts w:hint="eastAsia"/>
              </w:rPr>
              <w:t>行政</w:t>
            </w:r>
            <w:r>
              <w:t>确认</w:t>
            </w:r>
          </w:p>
        </w:tc>
        <w:tc>
          <w:tcPr>
            <w:tcW w:w="2175" w:type="dxa"/>
            <w:tcBorders>
              <w:top w:val="nil"/>
              <w:left w:val="nil"/>
              <w:bottom w:val="single" w:color="auto" w:sz="4" w:space="0"/>
              <w:right w:val="single" w:color="auto" w:sz="4" w:space="0"/>
            </w:tcBorders>
            <w:noWrap/>
            <w:vAlign w:val="center"/>
          </w:tcPr>
          <w:p>
            <w:pPr>
              <w:jc w:val="center"/>
            </w:pPr>
            <w:r>
              <w:rPr>
                <w:rFonts w:hint="eastAsia"/>
              </w:rPr>
              <w:t>2</w:t>
            </w:r>
          </w:p>
        </w:tc>
        <w:tc>
          <w:tcPr>
            <w:tcW w:w="1887" w:type="dxa"/>
            <w:tcBorders>
              <w:top w:val="nil"/>
              <w:left w:val="nil"/>
              <w:bottom w:val="single" w:color="auto" w:sz="4" w:space="0"/>
              <w:right w:val="single" w:color="auto" w:sz="4" w:space="0"/>
            </w:tcBorders>
            <w:noWrap/>
            <w:vAlign w:val="center"/>
          </w:tcPr>
          <w:p>
            <w:pPr>
              <w:jc w:val="center"/>
            </w:pPr>
            <w:r>
              <w:rPr>
                <w:rFonts w:hint="eastAsia"/>
              </w:rPr>
              <w:t>0</w:t>
            </w:r>
          </w:p>
        </w:tc>
        <w:tc>
          <w:tcPr>
            <w:tcW w:w="1749" w:type="dxa"/>
            <w:tcBorders>
              <w:top w:val="nil"/>
              <w:left w:val="nil"/>
              <w:bottom w:val="single" w:color="auto" w:sz="4" w:space="0"/>
              <w:right w:val="single" w:color="auto" w:sz="4" w:space="0"/>
            </w:tcBorders>
            <w:noWrap/>
            <w:vAlign w:val="center"/>
          </w:tcPr>
          <w:p>
            <w:pPr>
              <w:jc w:val="center"/>
            </w:pPr>
            <w:r>
              <w:rPr>
                <w:rFonts w:hint="eastAsia"/>
              </w:rPr>
              <w:t>62</w:t>
            </w:r>
          </w:p>
        </w:tc>
      </w:tr>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noWrap/>
            <w:vAlign w:val="center"/>
          </w:tcPr>
          <w:p>
            <w:pPr>
              <w:jc w:val="center"/>
            </w:pPr>
            <w:r>
              <w:rPr>
                <w:rFonts w:hint="eastAsia"/>
              </w:rPr>
              <w:t>第二十条第（六）项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ign w:val="center"/>
          </w:tcPr>
          <w:p>
            <w:pPr>
              <w:jc w:val="center"/>
            </w:pPr>
            <w:r>
              <w:rPr>
                <w:rFonts w:hint="eastAsia"/>
              </w:rPr>
              <w:t>信息内容</w:t>
            </w:r>
          </w:p>
        </w:tc>
        <w:tc>
          <w:tcPr>
            <w:tcW w:w="2175" w:type="dxa"/>
            <w:tcBorders>
              <w:top w:val="nil"/>
              <w:left w:val="nil"/>
              <w:bottom w:val="single" w:color="auto" w:sz="4" w:space="0"/>
              <w:right w:val="single" w:color="auto" w:sz="4" w:space="0"/>
            </w:tcBorders>
            <w:shd w:val="clear" w:color="auto" w:fill="BDD6EE"/>
            <w:noWrap/>
            <w:vAlign w:val="center"/>
          </w:tcPr>
          <w:p>
            <w:pPr>
              <w:jc w:val="center"/>
            </w:pPr>
            <w:r>
              <w:rPr>
                <w:rFonts w:hint="eastAsia"/>
              </w:rPr>
              <w:t>上一年项目数量</w:t>
            </w:r>
          </w:p>
        </w:tc>
        <w:tc>
          <w:tcPr>
            <w:tcW w:w="1887" w:type="dxa"/>
            <w:tcBorders>
              <w:top w:val="nil"/>
              <w:left w:val="nil"/>
              <w:bottom w:val="single" w:color="auto" w:sz="4" w:space="0"/>
              <w:right w:val="single" w:color="auto" w:sz="4" w:space="0"/>
            </w:tcBorders>
            <w:shd w:val="clear" w:color="auto" w:fill="BDD6EE"/>
            <w:noWrap/>
            <w:vAlign w:val="center"/>
          </w:tcPr>
          <w:p>
            <w:pPr>
              <w:jc w:val="center"/>
            </w:pPr>
            <w:r>
              <w:rPr>
                <w:rFonts w:hint="eastAsia"/>
              </w:rPr>
              <w:t>本年增/减</w:t>
            </w:r>
          </w:p>
        </w:tc>
        <w:tc>
          <w:tcPr>
            <w:tcW w:w="1749" w:type="dxa"/>
            <w:tcBorders>
              <w:top w:val="nil"/>
              <w:left w:val="nil"/>
              <w:bottom w:val="single" w:color="auto" w:sz="4" w:space="0"/>
              <w:right w:val="single" w:color="auto" w:sz="4" w:space="0"/>
            </w:tcBorders>
            <w:shd w:val="clear" w:color="auto" w:fill="BDD6EE"/>
            <w:noWrap/>
            <w:vAlign w:val="center"/>
          </w:tcPr>
          <w:p>
            <w:pPr>
              <w:jc w:val="center"/>
            </w:pPr>
            <w:r>
              <w:rPr>
                <w:rFonts w:hint="eastAsia"/>
              </w:rPr>
              <w:t>处理决定数量</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ign w:val="center"/>
          </w:tcPr>
          <w:p>
            <w:pPr>
              <w:jc w:val="center"/>
            </w:pPr>
            <w:r>
              <w:rPr>
                <w:rFonts w:hint="eastAsia"/>
              </w:rPr>
              <w:t>行政处罚</w:t>
            </w:r>
          </w:p>
        </w:tc>
        <w:tc>
          <w:tcPr>
            <w:tcW w:w="2175" w:type="dxa"/>
            <w:tcBorders>
              <w:top w:val="nil"/>
              <w:left w:val="nil"/>
              <w:bottom w:val="single" w:color="auto" w:sz="4" w:space="0"/>
              <w:right w:val="single" w:color="auto" w:sz="4" w:space="0"/>
            </w:tcBorders>
            <w:noWrap/>
            <w:vAlign w:val="center"/>
          </w:tcPr>
          <w:p>
            <w:pPr>
              <w:jc w:val="center"/>
            </w:pPr>
            <w:r>
              <w:rPr>
                <w:rFonts w:hint="eastAsia"/>
              </w:rPr>
              <w:t>359</w:t>
            </w:r>
          </w:p>
        </w:tc>
        <w:tc>
          <w:tcPr>
            <w:tcW w:w="1887" w:type="dxa"/>
            <w:tcBorders>
              <w:top w:val="nil"/>
              <w:left w:val="nil"/>
              <w:bottom w:val="single" w:color="auto" w:sz="4" w:space="0"/>
              <w:right w:val="single" w:color="auto" w:sz="4" w:space="0"/>
            </w:tcBorders>
            <w:noWrap/>
            <w:vAlign w:val="center"/>
          </w:tcPr>
          <w:p>
            <w:pPr>
              <w:jc w:val="center"/>
            </w:pPr>
            <w:r>
              <w:rPr>
                <w:rFonts w:hint="eastAsia"/>
              </w:rPr>
              <w:t>0</w:t>
            </w:r>
          </w:p>
        </w:tc>
        <w:tc>
          <w:tcPr>
            <w:tcW w:w="1749" w:type="dxa"/>
            <w:tcBorders>
              <w:top w:val="nil"/>
              <w:left w:val="nil"/>
              <w:bottom w:val="single" w:color="auto" w:sz="4" w:space="0"/>
              <w:right w:val="single" w:color="auto" w:sz="4" w:space="0"/>
            </w:tcBorders>
            <w:noWrap/>
            <w:vAlign w:val="center"/>
          </w:tcPr>
          <w:p>
            <w:pPr>
              <w:jc w:val="center"/>
            </w:pPr>
            <w:r>
              <w:rPr>
                <w:rFonts w:hint="eastAsia"/>
              </w:rPr>
              <w:t>440</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ign w:val="center"/>
          </w:tcPr>
          <w:p>
            <w:pPr>
              <w:jc w:val="center"/>
            </w:pPr>
            <w:r>
              <w:rPr>
                <w:rFonts w:hint="eastAsia"/>
              </w:rPr>
              <w:t>行政强制</w:t>
            </w:r>
          </w:p>
        </w:tc>
        <w:tc>
          <w:tcPr>
            <w:tcW w:w="2175" w:type="dxa"/>
            <w:tcBorders>
              <w:top w:val="nil"/>
              <w:left w:val="nil"/>
              <w:bottom w:val="single" w:color="auto" w:sz="4" w:space="0"/>
              <w:right w:val="single" w:color="auto" w:sz="4" w:space="0"/>
            </w:tcBorders>
            <w:noWrap/>
            <w:vAlign w:val="center"/>
          </w:tcPr>
          <w:p>
            <w:pPr>
              <w:jc w:val="center"/>
            </w:pPr>
            <w:r>
              <w:rPr>
                <w:rFonts w:hint="eastAsia"/>
              </w:rPr>
              <w:t>0</w:t>
            </w:r>
          </w:p>
        </w:tc>
        <w:tc>
          <w:tcPr>
            <w:tcW w:w="1887" w:type="dxa"/>
            <w:tcBorders>
              <w:top w:val="nil"/>
              <w:left w:val="nil"/>
              <w:bottom w:val="single" w:color="auto" w:sz="4" w:space="0"/>
              <w:right w:val="single" w:color="auto" w:sz="4" w:space="0"/>
            </w:tcBorders>
            <w:noWrap/>
            <w:vAlign w:val="center"/>
          </w:tcPr>
          <w:p>
            <w:pPr>
              <w:jc w:val="center"/>
            </w:pPr>
            <w:r>
              <w:rPr>
                <w:rFonts w:hint="eastAsia"/>
              </w:rPr>
              <w:t>0</w:t>
            </w:r>
          </w:p>
        </w:tc>
        <w:tc>
          <w:tcPr>
            <w:tcW w:w="1749" w:type="dxa"/>
            <w:tcBorders>
              <w:top w:val="nil"/>
              <w:left w:val="nil"/>
              <w:bottom w:val="single" w:color="auto" w:sz="4" w:space="0"/>
              <w:right w:val="single" w:color="auto" w:sz="4" w:space="0"/>
            </w:tcBorders>
            <w:noWrap/>
            <w:vAlign w:val="center"/>
          </w:tcPr>
          <w:p>
            <w:pPr>
              <w:jc w:val="center"/>
            </w:pPr>
            <w:r>
              <w:rPr>
                <w:rFonts w:hint="eastAsia"/>
              </w:rPr>
              <w:t>0</w:t>
            </w:r>
          </w:p>
        </w:tc>
      </w:tr>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000000" w:sz="8" w:space="0"/>
              <w:right w:val="single" w:color="auto" w:sz="4" w:space="0"/>
            </w:tcBorders>
            <w:shd w:val="clear" w:color="auto" w:fill="5B9BD5"/>
            <w:noWrap/>
            <w:vAlign w:val="center"/>
          </w:tcPr>
          <w:p>
            <w:pPr>
              <w:jc w:val="center"/>
            </w:pPr>
            <w:r>
              <w:rPr>
                <w:rFonts w:hint="eastAsia"/>
              </w:rPr>
              <w:t>第二十条第（八）项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000000" w:sz="8" w:space="0"/>
              <w:left w:val="single" w:color="auto" w:sz="4" w:space="0"/>
              <w:bottom w:val="single" w:color="auto" w:sz="4" w:space="0"/>
              <w:right w:val="single" w:color="000000" w:sz="4" w:space="0"/>
            </w:tcBorders>
            <w:shd w:val="clear" w:color="auto" w:fill="9CC2E5"/>
            <w:noWrap/>
            <w:vAlign w:val="center"/>
          </w:tcPr>
          <w:p>
            <w:pPr>
              <w:jc w:val="center"/>
            </w:pPr>
            <w:r>
              <w:rPr>
                <w:rFonts w:hint="eastAsia"/>
              </w:rPr>
              <w:t>信息内容</w:t>
            </w:r>
          </w:p>
        </w:tc>
        <w:tc>
          <w:tcPr>
            <w:tcW w:w="2175" w:type="dxa"/>
            <w:tcBorders>
              <w:top w:val="single" w:color="000000" w:sz="8" w:space="0"/>
              <w:left w:val="nil"/>
              <w:bottom w:val="single" w:color="auto" w:sz="4" w:space="0"/>
              <w:right w:val="single" w:color="auto" w:sz="4" w:space="0"/>
            </w:tcBorders>
            <w:shd w:val="clear" w:color="auto" w:fill="BDD6EE"/>
            <w:noWrap/>
            <w:vAlign w:val="center"/>
          </w:tcPr>
          <w:p>
            <w:pPr>
              <w:jc w:val="center"/>
            </w:pPr>
            <w:r>
              <w:rPr>
                <w:rFonts w:hint="eastAsia"/>
              </w:rPr>
              <w:t>上一年项目数量</w:t>
            </w:r>
          </w:p>
        </w:tc>
        <w:tc>
          <w:tcPr>
            <w:tcW w:w="3636" w:type="dxa"/>
            <w:gridSpan w:val="2"/>
            <w:tcBorders>
              <w:top w:val="single" w:color="000000" w:sz="8" w:space="0"/>
              <w:left w:val="nil"/>
              <w:bottom w:val="single" w:color="auto" w:sz="4" w:space="0"/>
              <w:right w:val="single" w:color="000000" w:sz="4" w:space="0"/>
            </w:tcBorders>
            <w:shd w:val="clear" w:color="auto" w:fill="BDD6EE"/>
            <w:noWrap/>
            <w:vAlign w:val="center"/>
          </w:tcPr>
          <w:p>
            <w:pPr>
              <w:jc w:val="center"/>
            </w:pPr>
            <w:r>
              <w:rPr>
                <w:rFonts w:hint="eastAsia"/>
              </w:rPr>
              <w:t>本年增/减</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ign w:val="center"/>
          </w:tcPr>
          <w:p>
            <w:pPr>
              <w:jc w:val="center"/>
            </w:pPr>
            <w:r>
              <w:rPr>
                <w:rFonts w:hint="eastAsia"/>
              </w:rPr>
              <w:t>行政事业性收费</w:t>
            </w:r>
          </w:p>
        </w:tc>
        <w:tc>
          <w:tcPr>
            <w:tcW w:w="2175" w:type="dxa"/>
            <w:tcBorders>
              <w:top w:val="single" w:color="auto" w:sz="4" w:space="0"/>
              <w:left w:val="nil"/>
              <w:bottom w:val="single" w:color="auto" w:sz="4" w:space="0"/>
              <w:right w:val="single" w:color="auto" w:sz="4" w:space="0"/>
            </w:tcBorders>
            <w:noWrap/>
            <w:vAlign w:val="center"/>
          </w:tcPr>
          <w:p>
            <w:pPr>
              <w:jc w:val="center"/>
            </w:pPr>
            <w:r>
              <w:rPr>
                <w:rFonts w:hint="eastAsia"/>
              </w:rPr>
              <w:t>16</w:t>
            </w:r>
          </w:p>
        </w:tc>
        <w:tc>
          <w:tcPr>
            <w:tcW w:w="3636" w:type="dxa"/>
            <w:gridSpan w:val="2"/>
            <w:tcBorders>
              <w:top w:val="single" w:color="auto" w:sz="4" w:space="0"/>
              <w:left w:val="nil"/>
              <w:bottom w:val="single" w:color="auto" w:sz="4" w:space="0"/>
              <w:right w:val="single" w:color="000000" w:sz="4" w:space="0"/>
            </w:tcBorders>
            <w:noWrap/>
            <w:vAlign w:val="center"/>
          </w:tcPr>
          <w:p>
            <w:pPr>
              <w:jc w:val="center"/>
            </w:pPr>
            <w:r>
              <w:rPr>
                <w:rFonts w:hint="eastAsia"/>
              </w:rPr>
              <w:t>0</w:t>
            </w:r>
          </w:p>
        </w:tc>
      </w:tr>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noWrap/>
            <w:vAlign w:val="center"/>
          </w:tcPr>
          <w:p>
            <w:pPr>
              <w:jc w:val="center"/>
            </w:pPr>
            <w:r>
              <w:rPr>
                <w:rFonts w:hint="eastAsia"/>
              </w:rPr>
              <w:t>第二十条第（九）项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ign w:val="center"/>
          </w:tcPr>
          <w:p>
            <w:pPr>
              <w:jc w:val="center"/>
            </w:pPr>
            <w:r>
              <w:rPr>
                <w:rFonts w:hint="eastAsia"/>
              </w:rPr>
              <w:t>信息内容</w:t>
            </w:r>
          </w:p>
        </w:tc>
        <w:tc>
          <w:tcPr>
            <w:tcW w:w="2175" w:type="dxa"/>
            <w:tcBorders>
              <w:top w:val="nil"/>
              <w:left w:val="nil"/>
              <w:bottom w:val="single" w:color="auto" w:sz="4" w:space="0"/>
              <w:right w:val="single" w:color="auto" w:sz="4" w:space="0"/>
            </w:tcBorders>
            <w:shd w:val="clear" w:color="auto" w:fill="BDD6EE"/>
            <w:noWrap/>
            <w:vAlign w:val="center"/>
          </w:tcPr>
          <w:p>
            <w:pPr>
              <w:jc w:val="center"/>
            </w:pPr>
            <w:r>
              <w:rPr>
                <w:rFonts w:hint="eastAsia"/>
              </w:rPr>
              <w:t>采购项目数量</w:t>
            </w:r>
          </w:p>
        </w:tc>
        <w:tc>
          <w:tcPr>
            <w:tcW w:w="3636" w:type="dxa"/>
            <w:gridSpan w:val="2"/>
            <w:tcBorders>
              <w:top w:val="single" w:color="auto" w:sz="4" w:space="0"/>
              <w:left w:val="nil"/>
              <w:bottom w:val="single" w:color="auto" w:sz="4" w:space="0"/>
              <w:right w:val="single" w:color="000000" w:sz="4" w:space="0"/>
            </w:tcBorders>
            <w:shd w:val="clear" w:color="auto" w:fill="BDD6EE"/>
            <w:noWrap/>
            <w:vAlign w:val="center"/>
          </w:tcPr>
          <w:p>
            <w:pPr>
              <w:jc w:val="center"/>
            </w:pPr>
            <w:r>
              <w:rPr>
                <w:rFonts w:hint="eastAsia"/>
              </w:rPr>
              <w:t>采购总金额（万元，保留四位小数）</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ign w:val="center"/>
          </w:tcPr>
          <w:p>
            <w:pPr>
              <w:jc w:val="center"/>
            </w:pPr>
            <w:r>
              <w:rPr>
                <w:rFonts w:hint="eastAsia"/>
              </w:rPr>
              <w:t>政府集中采购</w:t>
            </w:r>
          </w:p>
        </w:tc>
        <w:tc>
          <w:tcPr>
            <w:tcW w:w="2175" w:type="dxa"/>
            <w:tcBorders>
              <w:top w:val="nil"/>
              <w:left w:val="nil"/>
              <w:bottom w:val="single" w:color="auto" w:sz="4" w:space="0"/>
              <w:right w:val="single" w:color="auto" w:sz="4" w:space="0"/>
            </w:tcBorders>
            <w:noWrap/>
            <w:vAlign w:val="center"/>
          </w:tcPr>
          <w:p>
            <w:pPr>
              <w:jc w:val="center"/>
            </w:pPr>
            <w:r>
              <w:rPr>
                <w:rFonts w:hint="eastAsia"/>
              </w:rPr>
              <w:t>12</w:t>
            </w:r>
          </w:p>
        </w:tc>
        <w:tc>
          <w:tcPr>
            <w:tcW w:w="3636" w:type="dxa"/>
            <w:gridSpan w:val="2"/>
            <w:tcBorders>
              <w:top w:val="single" w:color="auto" w:sz="4" w:space="0"/>
              <w:left w:val="nil"/>
              <w:bottom w:val="single" w:color="auto" w:sz="4" w:space="0"/>
              <w:right w:val="single" w:color="000000" w:sz="4" w:space="0"/>
            </w:tcBorders>
            <w:noWrap/>
            <w:vAlign w:val="center"/>
          </w:tcPr>
          <w:p>
            <w:pPr>
              <w:jc w:val="center"/>
            </w:pPr>
            <w:r>
              <w:rPr>
                <w:rFonts w:hint="eastAsia"/>
              </w:rPr>
              <w:t>192.4013</w:t>
            </w:r>
          </w:p>
        </w:tc>
      </w:tr>
    </w:tbl>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7"/>
        <w:tblW w:w="90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99"/>
        <w:gridCol w:w="856"/>
        <w:gridCol w:w="2957"/>
        <w:gridCol w:w="709"/>
        <w:gridCol w:w="709"/>
        <w:gridCol w:w="709"/>
        <w:gridCol w:w="708"/>
        <w:gridCol w:w="709"/>
        <w:gridCol w:w="56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2" w:hRule="atLeast"/>
          <w:jc w:val="center"/>
        </w:trPr>
        <w:tc>
          <w:tcPr>
            <w:tcW w:w="4212" w:type="dxa"/>
            <w:gridSpan w:val="3"/>
            <w:vMerge w:val="restart"/>
            <w:shd w:val="clear" w:color="auto" w:fill="5B9BD5"/>
            <w:noWrap/>
            <w:tcMar>
              <w:top w:w="0" w:type="dxa"/>
              <w:left w:w="108" w:type="dxa"/>
              <w:bottom w:w="0" w:type="dxa"/>
              <w:right w:w="108" w:type="dxa"/>
            </w:tcMar>
            <w:vAlign w:val="center"/>
          </w:tcPr>
          <w:p>
            <w:r>
              <w:rPr>
                <w:rFonts w:hint="eastAsia"/>
              </w:rPr>
              <w:t>（本列数据的勾稽关系为：第一项加第二项之和，等于第三项加第四项之和）</w:t>
            </w:r>
          </w:p>
        </w:tc>
        <w:tc>
          <w:tcPr>
            <w:tcW w:w="4820" w:type="dxa"/>
            <w:gridSpan w:val="7"/>
            <w:shd w:val="clear" w:color="auto" w:fill="5B9BD5"/>
            <w:noWrap/>
            <w:tcMar>
              <w:top w:w="0" w:type="dxa"/>
              <w:left w:w="108" w:type="dxa"/>
              <w:bottom w:w="0" w:type="dxa"/>
              <w:right w:w="108" w:type="dxa"/>
            </w:tcMar>
            <w:vAlign w:val="center"/>
          </w:tcPr>
          <w:p>
            <w:pPr>
              <w:jc w:val="center"/>
            </w:pPr>
            <w:r>
              <w:rPr>
                <w:rFonts w:hint="eastAsia"/>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4" w:hRule="atLeast"/>
          <w:jc w:val="center"/>
        </w:trPr>
        <w:tc>
          <w:tcPr>
            <w:tcW w:w="4212" w:type="dxa"/>
            <w:gridSpan w:val="3"/>
            <w:vMerge w:val="continue"/>
            <w:shd w:val="clear" w:color="auto" w:fill="5B9BD5"/>
            <w:noWrap/>
            <w:tcMar>
              <w:top w:w="0" w:type="dxa"/>
              <w:left w:w="108" w:type="dxa"/>
              <w:bottom w:w="0" w:type="dxa"/>
              <w:right w:w="108" w:type="dxa"/>
            </w:tcMar>
            <w:vAlign w:val="center"/>
          </w:tcPr>
          <w:p/>
        </w:tc>
        <w:tc>
          <w:tcPr>
            <w:tcW w:w="709" w:type="dxa"/>
            <w:vMerge w:val="restart"/>
            <w:shd w:val="clear" w:color="auto" w:fill="5B9BD5"/>
            <w:noWrap/>
            <w:tcMar>
              <w:top w:w="0" w:type="dxa"/>
              <w:left w:w="108" w:type="dxa"/>
              <w:bottom w:w="0" w:type="dxa"/>
              <w:right w:w="108" w:type="dxa"/>
            </w:tcMar>
            <w:vAlign w:val="center"/>
          </w:tcPr>
          <w:p>
            <w:pPr>
              <w:jc w:val="center"/>
            </w:pPr>
            <w:r>
              <w:rPr>
                <w:rFonts w:hint="eastAsia"/>
              </w:rPr>
              <w:t>自然人</w:t>
            </w:r>
          </w:p>
        </w:tc>
        <w:tc>
          <w:tcPr>
            <w:tcW w:w="3402" w:type="dxa"/>
            <w:gridSpan w:val="5"/>
            <w:shd w:val="clear" w:color="auto" w:fill="5B9BD5"/>
            <w:noWrap/>
            <w:tcMar>
              <w:top w:w="0" w:type="dxa"/>
              <w:left w:w="108" w:type="dxa"/>
              <w:bottom w:w="0" w:type="dxa"/>
              <w:right w:w="108" w:type="dxa"/>
            </w:tcMar>
            <w:vAlign w:val="center"/>
          </w:tcPr>
          <w:p>
            <w:pPr>
              <w:jc w:val="center"/>
            </w:pPr>
            <w:r>
              <w:rPr>
                <w:rFonts w:hint="eastAsia"/>
              </w:rPr>
              <w:t>法人或其他组织</w:t>
            </w:r>
          </w:p>
        </w:tc>
        <w:tc>
          <w:tcPr>
            <w:tcW w:w="709" w:type="dxa"/>
            <w:vMerge w:val="restart"/>
            <w:shd w:val="clear" w:color="auto" w:fill="5B9BD5"/>
            <w:noWrap/>
            <w:tcMar>
              <w:top w:w="0" w:type="dxa"/>
              <w:left w:w="108" w:type="dxa"/>
              <w:bottom w:w="0" w:type="dxa"/>
              <w:right w:w="108" w:type="dxa"/>
            </w:tcMar>
            <w:vAlign w:val="center"/>
          </w:tcPr>
          <w:p>
            <w:pPr>
              <w:jc w:val="center"/>
            </w:pPr>
            <w:r>
              <w:rPr>
                <w:rFonts w:hint="eastAsia"/>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4212" w:type="dxa"/>
            <w:gridSpan w:val="3"/>
            <w:vMerge w:val="continue"/>
            <w:shd w:val="clear" w:color="auto" w:fill="auto"/>
            <w:noWrap/>
            <w:tcMar>
              <w:top w:w="0" w:type="dxa"/>
              <w:left w:w="108" w:type="dxa"/>
              <w:bottom w:w="0" w:type="dxa"/>
              <w:right w:w="108" w:type="dxa"/>
            </w:tcMar>
            <w:vAlign w:val="center"/>
          </w:tcPr>
          <w:p/>
        </w:tc>
        <w:tc>
          <w:tcPr>
            <w:tcW w:w="709" w:type="dxa"/>
            <w:vMerge w:val="continue"/>
            <w:shd w:val="clear" w:color="auto" w:fill="auto"/>
            <w:noWrap/>
            <w:tcMar>
              <w:top w:w="0" w:type="dxa"/>
              <w:left w:w="108" w:type="dxa"/>
              <w:bottom w:w="0" w:type="dxa"/>
              <w:right w:w="108" w:type="dxa"/>
            </w:tcMar>
            <w:vAlign w:val="center"/>
          </w:tcPr>
          <w:p>
            <w:pPr>
              <w:jc w:val="center"/>
            </w:pPr>
          </w:p>
        </w:tc>
        <w:tc>
          <w:tcPr>
            <w:tcW w:w="709" w:type="dxa"/>
            <w:shd w:val="clear" w:color="auto" w:fill="5B9BD5"/>
            <w:noWrap/>
            <w:tcMar>
              <w:top w:w="0" w:type="dxa"/>
              <w:left w:w="108" w:type="dxa"/>
              <w:bottom w:w="0" w:type="dxa"/>
              <w:right w:w="108" w:type="dxa"/>
            </w:tcMar>
            <w:vAlign w:val="center"/>
          </w:tcPr>
          <w:p>
            <w:pPr>
              <w:jc w:val="center"/>
            </w:pPr>
            <w:r>
              <w:rPr>
                <w:rFonts w:hint="eastAsia"/>
              </w:rPr>
              <w:t>商业企业</w:t>
            </w:r>
          </w:p>
        </w:tc>
        <w:tc>
          <w:tcPr>
            <w:tcW w:w="709" w:type="dxa"/>
            <w:shd w:val="clear" w:color="auto" w:fill="5B9BD5"/>
            <w:noWrap/>
            <w:tcMar>
              <w:top w:w="0" w:type="dxa"/>
              <w:left w:w="108" w:type="dxa"/>
              <w:bottom w:w="0" w:type="dxa"/>
              <w:right w:w="108" w:type="dxa"/>
            </w:tcMar>
            <w:vAlign w:val="center"/>
          </w:tcPr>
          <w:p>
            <w:pPr>
              <w:jc w:val="center"/>
            </w:pPr>
            <w:r>
              <w:rPr>
                <w:rFonts w:hint="eastAsia"/>
              </w:rPr>
              <w:t>科研机构</w:t>
            </w:r>
          </w:p>
        </w:tc>
        <w:tc>
          <w:tcPr>
            <w:tcW w:w="708" w:type="dxa"/>
            <w:shd w:val="clear" w:color="auto" w:fill="5B9BD5"/>
            <w:noWrap/>
            <w:tcMar>
              <w:top w:w="0" w:type="dxa"/>
              <w:left w:w="108" w:type="dxa"/>
              <w:bottom w:w="0" w:type="dxa"/>
              <w:right w:w="108" w:type="dxa"/>
            </w:tcMar>
            <w:vAlign w:val="center"/>
          </w:tcPr>
          <w:p>
            <w:pPr>
              <w:jc w:val="center"/>
            </w:pPr>
            <w:r>
              <w:rPr>
                <w:rFonts w:hint="eastAsia"/>
              </w:rPr>
              <w:t>社会公益组织</w:t>
            </w:r>
          </w:p>
        </w:tc>
        <w:tc>
          <w:tcPr>
            <w:tcW w:w="709" w:type="dxa"/>
            <w:shd w:val="clear" w:color="auto" w:fill="5B9BD5"/>
            <w:noWrap/>
            <w:tcMar>
              <w:top w:w="0" w:type="dxa"/>
              <w:left w:w="108" w:type="dxa"/>
              <w:bottom w:w="0" w:type="dxa"/>
              <w:right w:w="108" w:type="dxa"/>
            </w:tcMar>
            <w:vAlign w:val="center"/>
          </w:tcPr>
          <w:p>
            <w:pPr>
              <w:jc w:val="center"/>
            </w:pPr>
            <w:r>
              <w:rPr>
                <w:rFonts w:hint="eastAsia"/>
              </w:rPr>
              <w:t>法律服务机构</w:t>
            </w:r>
          </w:p>
        </w:tc>
        <w:tc>
          <w:tcPr>
            <w:tcW w:w="567" w:type="dxa"/>
            <w:shd w:val="clear" w:color="auto" w:fill="5B9BD5"/>
            <w:noWrap/>
            <w:tcMar>
              <w:top w:w="0" w:type="dxa"/>
              <w:left w:w="108" w:type="dxa"/>
              <w:bottom w:w="0" w:type="dxa"/>
              <w:right w:w="108" w:type="dxa"/>
            </w:tcMar>
            <w:vAlign w:val="center"/>
          </w:tcPr>
          <w:p>
            <w:pPr>
              <w:jc w:val="center"/>
            </w:pPr>
            <w:r>
              <w:rPr>
                <w:rFonts w:hint="eastAsia"/>
              </w:rPr>
              <w:t>其他</w:t>
            </w:r>
          </w:p>
        </w:tc>
        <w:tc>
          <w:tcPr>
            <w:tcW w:w="709" w:type="dxa"/>
            <w:vMerge w:val="continue"/>
            <w:noWrap/>
            <w:tcMar>
              <w:top w:w="0" w:type="dxa"/>
              <w:left w:w="108" w:type="dxa"/>
              <w:bottom w:w="0" w:type="dxa"/>
              <w:right w:w="108"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4212" w:type="dxa"/>
            <w:gridSpan w:val="3"/>
            <w:shd w:val="clear" w:color="auto" w:fill="9CC2E5"/>
            <w:noWrap/>
            <w:tcMar>
              <w:top w:w="0" w:type="dxa"/>
              <w:left w:w="108" w:type="dxa"/>
              <w:bottom w:w="0" w:type="dxa"/>
              <w:right w:w="108" w:type="dxa"/>
            </w:tcMar>
            <w:vAlign w:val="center"/>
          </w:tcPr>
          <w:p>
            <w:r>
              <w:rPr>
                <w:rFonts w:hint="eastAsia"/>
              </w:rPr>
              <w:t>一、本年新收政府信息公开申请数量</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14</w:t>
            </w:r>
            <w:r>
              <w:rPr>
                <w:rFonts w:hint="eastAsia" w:ascii="Calibri" w:hAnsi="Calibri" w:cs="Calibri"/>
                <w:color w:val="000000"/>
                <w:kern w:val="0"/>
                <w:sz w:val="20"/>
              </w:rPr>
              <w:t>7</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23</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2</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17</w:t>
            </w:r>
            <w:r>
              <w:rPr>
                <w:rFonts w:hint="eastAsia" w:ascii="Calibri" w:hAnsi="Calibri" w:cs="Calibri"/>
                <w:color w:val="000000"/>
                <w:kern w:val="0"/>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4212" w:type="dxa"/>
            <w:gridSpan w:val="3"/>
            <w:shd w:val="clear" w:color="auto" w:fill="9CC2E5"/>
            <w:noWrap/>
            <w:tcMar>
              <w:top w:w="0" w:type="dxa"/>
              <w:left w:w="108" w:type="dxa"/>
              <w:bottom w:w="0" w:type="dxa"/>
              <w:right w:w="108" w:type="dxa"/>
            </w:tcMar>
            <w:vAlign w:val="center"/>
          </w:tcPr>
          <w:p>
            <w:r>
              <w:rPr>
                <w:rFonts w:hint="eastAsia"/>
              </w:rPr>
              <w:t>二、上年结转政府信息公开申请数量</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10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4</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restart"/>
            <w:shd w:val="clear" w:color="auto" w:fill="9CC2E5"/>
            <w:noWrap/>
            <w:tcMar>
              <w:top w:w="0" w:type="dxa"/>
              <w:left w:w="108" w:type="dxa"/>
              <w:bottom w:w="0" w:type="dxa"/>
              <w:right w:w="108" w:type="dxa"/>
            </w:tcMar>
            <w:vAlign w:val="center"/>
          </w:tcPr>
          <w:p>
            <w:r>
              <w:rPr>
                <w:rFonts w:hint="eastAsia"/>
              </w:rPr>
              <w:t>三、本年度办理结果</w:t>
            </w:r>
          </w:p>
        </w:tc>
        <w:tc>
          <w:tcPr>
            <w:tcW w:w="3813" w:type="dxa"/>
            <w:gridSpan w:val="2"/>
            <w:shd w:val="clear" w:color="auto" w:fill="BDD6EE"/>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（一）予以公开</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33</w:t>
            </w:r>
          </w:p>
        </w:tc>
        <w:tc>
          <w:tcPr>
            <w:tcW w:w="709" w:type="dxa"/>
            <w:noWrap/>
            <w:tcMar>
              <w:top w:w="0" w:type="dxa"/>
              <w:left w:w="108" w:type="dxa"/>
              <w:bottom w:w="0" w:type="dxa"/>
              <w:right w:w="108" w:type="dxa"/>
            </w:tcMar>
            <w:vAlign w:val="center"/>
          </w:tcPr>
          <w:p>
            <w:pPr>
              <w:widowControl/>
              <w:jc w:val="center"/>
              <w:textAlignment w:val="center"/>
              <w:rPr>
                <w:rFonts w:hint="eastAsia" w:eastAsia="宋体"/>
                <w:lang w:eastAsia="zh-CN"/>
              </w:rPr>
            </w:pPr>
            <w:r>
              <w:rPr>
                <w:rFonts w:hint="eastAsia" w:ascii="Calibri" w:hAnsi="Calibri" w:cs="Calibri"/>
                <w:color w:val="000000"/>
                <w:kern w:val="0"/>
                <w:sz w:val="20"/>
                <w:lang w:val="en-US" w:eastAsia="zh-CN"/>
              </w:rPr>
              <w:t>7</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rPr>
                <w:rFonts w:hint="default" w:eastAsia="宋体"/>
                <w:lang w:val="en-US" w:eastAsia="zh-CN"/>
              </w:rPr>
            </w:pPr>
            <w:r>
              <w:rPr>
                <w:rFonts w:hint="eastAsia" w:ascii="Calibri" w:hAnsi="Calibri" w:cs="Calibri"/>
                <w:color w:val="000000"/>
                <w:kern w:val="0"/>
                <w:sz w:val="2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3813" w:type="dxa"/>
            <w:gridSpan w:val="2"/>
            <w:shd w:val="clear" w:color="auto" w:fill="BDD6EE"/>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（二）部分公开（区分处理的，只计这一情形，不计其他情形）</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25</w:t>
            </w:r>
          </w:p>
        </w:tc>
        <w:tc>
          <w:tcPr>
            <w:tcW w:w="709" w:type="dxa"/>
            <w:noWrap/>
            <w:tcMar>
              <w:top w:w="0" w:type="dxa"/>
              <w:left w:w="108" w:type="dxa"/>
              <w:bottom w:w="0" w:type="dxa"/>
              <w:right w:w="108" w:type="dxa"/>
            </w:tcMar>
            <w:vAlign w:val="center"/>
          </w:tcPr>
          <w:p>
            <w:pPr>
              <w:widowControl/>
              <w:jc w:val="center"/>
              <w:textAlignment w:val="center"/>
              <w:rPr>
                <w:rFonts w:hint="eastAsia" w:eastAsia="宋体"/>
                <w:lang w:eastAsia="zh-CN"/>
              </w:rPr>
            </w:pPr>
            <w:r>
              <w:rPr>
                <w:rFonts w:hint="eastAsia" w:ascii="Calibri" w:hAnsi="Calibri" w:cs="Calibri"/>
                <w:color w:val="000000"/>
                <w:kern w:val="0"/>
                <w:sz w:val="20"/>
                <w:lang w:val="en-US" w:eastAsia="zh-CN"/>
              </w:rPr>
              <w:t>7</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2</w:t>
            </w:r>
          </w:p>
        </w:tc>
        <w:tc>
          <w:tcPr>
            <w:tcW w:w="709" w:type="dxa"/>
            <w:noWrap/>
            <w:tcMar>
              <w:top w:w="0" w:type="dxa"/>
              <w:left w:w="108" w:type="dxa"/>
              <w:bottom w:w="0" w:type="dxa"/>
              <w:right w:w="108" w:type="dxa"/>
            </w:tcMar>
            <w:vAlign w:val="center"/>
          </w:tcPr>
          <w:p>
            <w:pPr>
              <w:widowControl/>
              <w:jc w:val="center"/>
              <w:textAlignment w:val="center"/>
              <w:rPr>
                <w:rFonts w:hint="default" w:eastAsia="宋体"/>
                <w:lang w:val="en-US" w:eastAsia="zh-CN"/>
              </w:rPr>
            </w:pPr>
            <w:r>
              <w:rPr>
                <w:rFonts w:hint="eastAsia" w:ascii="Calibri" w:hAnsi="Calibri" w:cs="Calibri"/>
                <w:color w:val="000000"/>
                <w:kern w:val="0"/>
                <w:sz w:val="20"/>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856" w:type="dxa"/>
            <w:vMerge w:val="restart"/>
            <w:shd w:val="clear" w:color="auto" w:fill="BDD6EE"/>
            <w:noWrap/>
            <w:tcMar>
              <w:top w:w="0" w:type="dxa"/>
              <w:left w:w="108" w:type="dxa"/>
              <w:bottom w:w="0" w:type="dxa"/>
              <w:right w:w="108" w:type="dxa"/>
            </w:tcMar>
            <w:vAlign w:val="center"/>
          </w:tcPr>
          <w:p>
            <w:pPr>
              <w:jc w:val="center"/>
              <w:rPr>
                <w:rFonts w:ascii="楷体_GB2312" w:eastAsia="楷体_GB2312"/>
              </w:rPr>
            </w:pPr>
            <w:r>
              <w:rPr>
                <w:rFonts w:hint="eastAsia" w:ascii="楷体_GB2312" w:eastAsia="楷体_GB2312"/>
              </w:rPr>
              <w:t>（三）不予</w:t>
            </w:r>
          </w:p>
          <w:p>
            <w:pPr>
              <w:jc w:val="center"/>
              <w:rPr>
                <w:rFonts w:ascii="楷体_GB2312" w:eastAsia="楷体_GB2312"/>
              </w:rPr>
            </w:pPr>
            <w:r>
              <w:rPr>
                <w:rFonts w:hint="eastAsia" w:ascii="楷体_GB2312" w:eastAsia="楷体_GB2312"/>
              </w:rPr>
              <w:t>公开</w:t>
            </w:r>
          </w:p>
        </w:tc>
        <w:tc>
          <w:tcPr>
            <w:tcW w:w="2957" w:type="dxa"/>
            <w:shd w:val="clear" w:color="auto" w:fill="DEEAF6"/>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1.属于国家秘密</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rPr>
                <w:rFonts w:hint="eastAsia" w:eastAsia="宋体"/>
                <w:lang w:eastAsia="zh-CN"/>
              </w:rPr>
            </w:pPr>
            <w:r>
              <w:rPr>
                <w:rFonts w:hint="eastAsia" w:ascii="Calibri" w:hAnsi="Calibri" w:cs="Calibri"/>
                <w:color w:val="000000"/>
                <w:kern w:val="0"/>
                <w:sz w:val="20"/>
                <w:lang w:val="en-US" w:eastAsia="zh-CN"/>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856" w:type="dxa"/>
            <w:vMerge w:val="continue"/>
            <w:shd w:val="clear" w:color="auto" w:fill="BDD6EE"/>
            <w:noWrap/>
            <w:tcMar>
              <w:top w:w="0" w:type="dxa"/>
              <w:left w:w="108" w:type="dxa"/>
              <w:bottom w:w="0" w:type="dxa"/>
              <w:right w:w="108" w:type="dxa"/>
            </w:tcMar>
            <w:vAlign w:val="center"/>
          </w:tcPr>
          <w:p>
            <w:pPr>
              <w:jc w:val="center"/>
              <w:rPr>
                <w:rFonts w:ascii="楷体_GB2312" w:eastAsia="楷体_GB2312"/>
              </w:rPr>
            </w:pPr>
          </w:p>
        </w:tc>
        <w:tc>
          <w:tcPr>
            <w:tcW w:w="2957" w:type="dxa"/>
            <w:shd w:val="clear" w:color="auto" w:fill="DEEAF6"/>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2.其他法律行政法规禁止公开</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856" w:type="dxa"/>
            <w:vMerge w:val="continue"/>
            <w:shd w:val="clear" w:color="auto" w:fill="BDD6EE"/>
            <w:noWrap/>
            <w:tcMar>
              <w:top w:w="0" w:type="dxa"/>
              <w:left w:w="108" w:type="dxa"/>
              <w:bottom w:w="0" w:type="dxa"/>
              <w:right w:w="108" w:type="dxa"/>
            </w:tcMar>
            <w:vAlign w:val="center"/>
          </w:tcPr>
          <w:p>
            <w:pPr>
              <w:jc w:val="center"/>
              <w:rPr>
                <w:rFonts w:ascii="楷体_GB2312" w:eastAsia="楷体_GB2312"/>
              </w:rPr>
            </w:pPr>
          </w:p>
        </w:tc>
        <w:tc>
          <w:tcPr>
            <w:tcW w:w="2957" w:type="dxa"/>
            <w:shd w:val="clear" w:color="auto" w:fill="DEEAF6"/>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3.危及“三安全一稳定”</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856" w:type="dxa"/>
            <w:vMerge w:val="continue"/>
            <w:shd w:val="clear" w:color="auto" w:fill="BDD6EE"/>
            <w:noWrap/>
            <w:tcMar>
              <w:top w:w="0" w:type="dxa"/>
              <w:left w:w="108" w:type="dxa"/>
              <w:bottom w:w="0" w:type="dxa"/>
              <w:right w:w="108" w:type="dxa"/>
            </w:tcMar>
            <w:vAlign w:val="center"/>
          </w:tcPr>
          <w:p>
            <w:pPr>
              <w:jc w:val="center"/>
              <w:rPr>
                <w:rFonts w:ascii="楷体_GB2312" w:eastAsia="楷体_GB2312"/>
              </w:rPr>
            </w:pPr>
          </w:p>
        </w:tc>
        <w:tc>
          <w:tcPr>
            <w:tcW w:w="2957" w:type="dxa"/>
            <w:shd w:val="clear" w:color="auto" w:fill="DEEAF6"/>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4.保护第三方合法权益</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856" w:type="dxa"/>
            <w:vMerge w:val="continue"/>
            <w:shd w:val="clear" w:color="auto" w:fill="BDD6EE"/>
            <w:noWrap/>
            <w:tcMar>
              <w:top w:w="0" w:type="dxa"/>
              <w:left w:w="108" w:type="dxa"/>
              <w:bottom w:w="0" w:type="dxa"/>
              <w:right w:w="108" w:type="dxa"/>
            </w:tcMar>
            <w:vAlign w:val="center"/>
          </w:tcPr>
          <w:p>
            <w:pPr>
              <w:jc w:val="center"/>
              <w:rPr>
                <w:rFonts w:ascii="楷体_GB2312" w:eastAsia="楷体_GB2312"/>
              </w:rPr>
            </w:pPr>
          </w:p>
        </w:tc>
        <w:tc>
          <w:tcPr>
            <w:tcW w:w="2957" w:type="dxa"/>
            <w:shd w:val="clear" w:color="auto" w:fill="DEEAF6"/>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5.属于三类内部事务信息</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856" w:type="dxa"/>
            <w:vMerge w:val="continue"/>
            <w:shd w:val="clear" w:color="auto" w:fill="BDD6EE"/>
            <w:noWrap/>
            <w:tcMar>
              <w:top w:w="0" w:type="dxa"/>
              <w:left w:w="108" w:type="dxa"/>
              <w:bottom w:w="0" w:type="dxa"/>
              <w:right w:w="108" w:type="dxa"/>
            </w:tcMar>
            <w:vAlign w:val="center"/>
          </w:tcPr>
          <w:p>
            <w:pPr>
              <w:jc w:val="center"/>
              <w:rPr>
                <w:rFonts w:ascii="楷体_GB2312" w:eastAsia="楷体_GB2312"/>
              </w:rPr>
            </w:pPr>
          </w:p>
        </w:tc>
        <w:tc>
          <w:tcPr>
            <w:tcW w:w="2957" w:type="dxa"/>
            <w:shd w:val="clear" w:color="auto" w:fill="DEEAF6"/>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6.属于四类过程性信息</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1</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856" w:type="dxa"/>
            <w:vMerge w:val="continue"/>
            <w:shd w:val="clear" w:color="auto" w:fill="BDD6EE"/>
            <w:noWrap/>
            <w:tcMar>
              <w:top w:w="0" w:type="dxa"/>
              <w:left w:w="108" w:type="dxa"/>
              <w:bottom w:w="0" w:type="dxa"/>
              <w:right w:w="108" w:type="dxa"/>
            </w:tcMar>
            <w:vAlign w:val="center"/>
          </w:tcPr>
          <w:p>
            <w:pPr>
              <w:jc w:val="center"/>
              <w:rPr>
                <w:rFonts w:ascii="楷体_GB2312" w:eastAsia="楷体_GB2312"/>
              </w:rPr>
            </w:pPr>
          </w:p>
        </w:tc>
        <w:tc>
          <w:tcPr>
            <w:tcW w:w="2957" w:type="dxa"/>
            <w:shd w:val="clear" w:color="auto" w:fill="DEEAF6"/>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7.属于行政执法案卷</w:t>
            </w:r>
          </w:p>
        </w:tc>
        <w:tc>
          <w:tcPr>
            <w:tcW w:w="709" w:type="dxa"/>
            <w:noWrap/>
            <w:tcMar>
              <w:top w:w="0" w:type="dxa"/>
              <w:left w:w="108" w:type="dxa"/>
              <w:bottom w:w="0" w:type="dxa"/>
              <w:right w:w="108" w:type="dxa"/>
            </w:tcMar>
            <w:vAlign w:val="center"/>
          </w:tcPr>
          <w:p>
            <w:pPr>
              <w:widowControl/>
              <w:jc w:val="center"/>
              <w:textAlignment w:val="center"/>
              <w:rPr>
                <w:rFonts w:hint="eastAsia" w:eastAsia="宋体"/>
                <w:lang w:eastAsia="zh-CN"/>
              </w:rPr>
            </w:pPr>
            <w:r>
              <w:rPr>
                <w:rFonts w:hint="eastAsia" w:ascii="Calibri" w:hAnsi="Calibri" w:cs="Calibri"/>
                <w:color w:val="000000"/>
                <w:kern w:val="0"/>
                <w:sz w:val="20"/>
                <w:lang w:val="en-US" w:eastAsia="zh-CN"/>
              </w:rPr>
              <w:t>2</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rPr>
                <w:rFonts w:hint="eastAsia" w:eastAsia="宋体"/>
                <w:lang w:eastAsia="zh-CN"/>
              </w:rPr>
            </w:pPr>
            <w:r>
              <w:rPr>
                <w:rFonts w:hint="eastAsia" w:ascii="Calibri" w:hAnsi="Calibri" w:cs="Calibri"/>
                <w:color w:val="000000"/>
                <w:kern w:val="0"/>
                <w:sz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856" w:type="dxa"/>
            <w:vMerge w:val="continue"/>
            <w:shd w:val="clear" w:color="auto" w:fill="BDD6EE"/>
            <w:noWrap/>
            <w:tcMar>
              <w:top w:w="0" w:type="dxa"/>
              <w:left w:w="108" w:type="dxa"/>
              <w:bottom w:w="0" w:type="dxa"/>
              <w:right w:w="108" w:type="dxa"/>
            </w:tcMar>
            <w:vAlign w:val="center"/>
          </w:tcPr>
          <w:p>
            <w:pPr>
              <w:jc w:val="center"/>
              <w:rPr>
                <w:rFonts w:ascii="楷体_GB2312" w:eastAsia="楷体_GB2312"/>
              </w:rPr>
            </w:pPr>
          </w:p>
        </w:tc>
        <w:tc>
          <w:tcPr>
            <w:tcW w:w="2957" w:type="dxa"/>
            <w:shd w:val="clear" w:color="auto" w:fill="DEEAF6"/>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8.属于行政查询事项</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856" w:type="dxa"/>
            <w:vMerge w:val="restart"/>
            <w:shd w:val="clear" w:color="auto" w:fill="BDD6EE"/>
            <w:noWrap/>
            <w:tcMar>
              <w:top w:w="0" w:type="dxa"/>
              <w:left w:w="108" w:type="dxa"/>
              <w:bottom w:w="0" w:type="dxa"/>
              <w:right w:w="108" w:type="dxa"/>
            </w:tcMar>
            <w:vAlign w:val="center"/>
          </w:tcPr>
          <w:p>
            <w:pPr>
              <w:jc w:val="center"/>
              <w:rPr>
                <w:rFonts w:ascii="楷体_GB2312" w:eastAsia="楷体_GB2312"/>
              </w:rPr>
            </w:pPr>
            <w:r>
              <w:rPr>
                <w:rFonts w:hint="eastAsia" w:ascii="楷体_GB2312" w:eastAsia="楷体_GB2312"/>
              </w:rPr>
              <w:t>（四）无法</w:t>
            </w:r>
          </w:p>
          <w:p>
            <w:pPr>
              <w:jc w:val="center"/>
              <w:rPr>
                <w:rFonts w:ascii="楷体_GB2312" w:eastAsia="楷体_GB2312"/>
              </w:rPr>
            </w:pPr>
            <w:r>
              <w:rPr>
                <w:rFonts w:hint="eastAsia" w:ascii="楷体_GB2312" w:eastAsia="楷体_GB2312"/>
              </w:rPr>
              <w:t>提供</w:t>
            </w:r>
          </w:p>
        </w:tc>
        <w:tc>
          <w:tcPr>
            <w:tcW w:w="2957" w:type="dxa"/>
            <w:shd w:val="clear" w:color="auto" w:fill="DEEAF6"/>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1.本机关不掌握相关政府信息</w:t>
            </w:r>
          </w:p>
        </w:tc>
        <w:tc>
          <w:tcPr>
            <w:tcW w:w="709" w:type="dxa"/>
            <w:noWrap/>
            <w:tcMar>
              <w:top w:w="0" w:type="dxa"/>
              <w:left w:w="108" w:type="dxa"/>
              <w:bottom w:w="0" w:type="dxa"/>
              <w:right w:w="108" w:type="dxa"/>
            </w:tcMar>
            <w:vAlign w:val="center"/>
          </w:tcPr>
          <w:p>
            <w:pPr>
              <w:widowControl/>
              <w:jc w:val="center"/>
              <w:textAlignment w:val="center"/>
              <w:rPr>
                <w:rFonts w:hint="default" w:eastAsia="宋体"/>
                <w:lang w:val="en-US" w:eastAsia="zh-CN"/>
              </w:rPr>
            </w:pPr>
            <w:r>
              <w:rPr>
                <w:rFonts w:hint="eastAsia" w:ascii="Calibri" w:hAnsi="Calibri" w:cs="Calibri"/>
                <w:color w:val="000000"/>
                <w:kern w:val="0"/>
                <w:sz w:val="20"/>
                <w:lang w:val="en-US" w:eastAsia="zh-CN"/>
              </w:rPr>
              <w:t>70</w:t>
            </w:r>
          </w:p>
        </w:tc>
        <w:tc>
          <w:tcPr>
            <w:tcW w:w="709" w:type="dxa"/>
            <w:noWrap/>
            <w:tcMar>
              <w:top w:w="0" w:type="dxa"/>
              <w:left w:w="108" w:type="dxa"/>
              <w:bottom w:w="0" w:type="dxa"/>
              <w:right w:w="108" w:type="dxa"/>
            </w:tcMar>
            <w:vAlign w:val="center"/>
          </w:tcPr>
          <w:p>
            <w:pPr>
              <w:widowControl/>
              <w:jc w:val="center"/>
              <w:textAlignment w:val="center"/>
              <w:rPr>
                <w:rFonts w:hint="default" w:eastAsia="宋体"/>
                <w:lang w:val="en-US" w:eastAsia="zh-CN"/>
              </w:rPr>
            </w:pPr>
            <w:r>
              <w:rPr>
                <w:rFonts w:hint="eastAsia" w:ascii="Calibri" w:hAnsi="Calibri" w:cs="Calibri"/>
                <w:color w:val="000000"/>
                <w:kern w:val="0"/>
                <w:sz w:val="20"/>
                <w:lang w:val="en-US" w:eastAsia="zh-CN"/>
              </w:rPr>
              <w:t>11</w:t>
            </w:r>
          </w:p>
        </w:tc>
        <w:tc>
          <w:tcPr>
            <w:tcW w:w="709" w:type="dxa"/>
            <w:noWrap/>
            <w:tcMar>
              <w:top w:w="0" w:type="dxa"/>
              <w:left w:w="108" w:type="dxa"/>
              <w:bottom w:w="0" w:type="dxa"/>
              <w:right w:w="108" w:type="dxa"/>
            </w:tcMar>
            <w:vAlign w:val="center"/>
          </w:tcPr>
          <w:p>
            <w:pPr>
              <w:widowControl/>
              <w:jc w:val="center"/>
              <w:textAlignment w:val="center"/>
              <w:rPr>
                <w:rFonts w:hint="default" w:eastAsia="宋体"/>
                <w:lang w:val="en-US" w:eastAsia="zh-CN"/>
              </w:rPr>
            </w:pPr>
            <w:r>
              <w:rPr>
                <w:rFonts w:hint="eastAsia" w:ascii="Calibri" w:hAnsi="Calibri" w:cs="Calibri"/>
                <w:color w:val="000000"/>
                <w:kern w:val="0"/>
                <w:sz w:val="20"/>
                <w:lang w:val="en-US" w:eastAsia="zh-CN"/>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rPr>
                <w:rFonts w:hint="default" w:eastAsia="宋体"/>
                <w:lang w:val="en-US" w:eastAsia="zh-CN"/>
              </w:rPr>
            </w:pPr>
            <w:r>
              <w:rPr>
                <w:rFonts w:hint="eastAsia" w:ascii="Calibri" w:hAnsi="Calibri" w:cs="Calibri"/>
                <w:color w:val="000000"/>
                <w:kern w:val="0"/>
                <w:sz w:val="20"/>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856" w:type="dxa"/>
            <w:vMerge w:val="continue"/>
            <w:shd w:val="clear" w:color="auto" w:fill="BDD6EE"/>
            <w:noWrap/>
            <w:tcMar>
              <w:top w:w="0" w:type="dxa"/>
              <w:left w:w="108" w:type="dxa"/>
              <w:bottom w:w="0" w:type="dxa"/>
              <w:right w:w="108" w:type="dxa"/>
            </w:tcMar>
            <w:vAlign w:val="center"/>
          </w:tcPr>
          <w:p>
            <w:pPr>
              <w:jc w:val="center"/>
              <w:rPr>
                <w:rFonts w:ascii="楷体_GB2312" w:eastAsia="楷体_GB2312"/>
              </w:rPr>
            </w:pPr>
          </w:p>
        </w:tc>
        <w:tc>
          <w:tcPr>
            <w:tcW w:w="2957" w:type="dxa"/>
            <w:shd w:val="clear" w:color="auto" w:fill="DEEAF6"/>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2.没有现成信息需要另行制作</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856" w:type="dxa"/>
            <w:vMerge w:val="continue"/>
            <w:shd w:val="clear" w:color="auto" w:fill="BDD6EE"/>
            <w:noWrap/>
            <w:tcMar>
              <w:top w:w="0" w:type="dxa"/>
              <w:left w:w="108" w:type="dxa"/>
              <w:bottom w:w="0" w:type="dxa"/>
              <w:right w:w="108" w:type="dxa"/>
            </w:tcMar>
            <w:vAlign w:val="center"/>
          </w:tcPr>
          <w:p>
            <w:pPr>
              <w:jc w:val="center"/>
              <w:rPr>
                <w:rFonts w:ascii="楷体_GB2312" w:eastAsia="楷体_GB2312"/>
              </w:rPr>
            </w:pPr>
          </w:p>
        </w:tc>
        <w:tc>
          <w:tcPr>
            <w:tcW w:w="2957" w:type="dxa"/>
            <w:shd w:val="clear" w:color="auto" w:fill="DEEAF6"/>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3.补正后申请内容仍不明确</w:t>
            </w:r>
          </w:p>
        </w:tc>
        <w:tc>
          <w:tcPr>
            <w:tcW w:w="709" w:type="dxa"/>
            <w:noWrap/>
            <w:tcMar>
              <w:top w:w="0" w:type="dxa"/>
              <w:left w:w="108" w:type="dxa"/>
              <w:bottom w:w="0" w:type="dxa"/>
              <w:right w:w="108" w:type="dxa"/>
            </w:tcMar>
            <w:vAlign w:val="center"/>
          </w:tcPr>
          <w:p>
            <w:pPr>
              <w:widowControl/>
              <w:jc w:val="center"/>
              <w:textAlignment w:val="center"/>
              <w:rPr>
                <w:rFonts w:hint="eastAsia" w:eastAsia="宋体"/>
                <w:lang w:eastAsia="zh-CN"/>
              </w:rPr>
            </w:pPr>
            <w:r>
              <w:rPr>
                <w:rFonts w:hint="eastAsia" w:ascii="Calibri" w:hAnsi="Calibri" w:cs="Calibri"/>
                <w:color w:val="000000"/>
                <w:kern w:val="0"/>
                <w:sz w:val="20"/>
                <w:lang w:val="en-US" w:eastAsia="zh-CN"/>
              </w:rPr>
              <w:t>8</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rPr>
                <w:rFonts w:hint="eastAsia" w:eastAsia="宋体"/>
                <w:lang w:eastAsia="zh-CN"/>
              </w:rPr>
            </w:pPr>
            <w:r>
              <w:rPr>
                <w:rFonts w:hint="eastAsia" w:ascii="Calibri" w:hAnsi="Calibri" w:cs="Calibri"/>
                <w:color w:val="000000"/>
                <w:kern w:val="0"/>
                <w:sz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856" w:type="dxa"/>
            <w:vMerge w:val="restart"/>
            <w:shd w:val="clear" w:color="auto" w:fill="BDD6EE"/>
            <w:noWrap/>
            <w:tcMar>
              <w:top w:w="0" w:type="dxa"/>
              <w:left w:w="108" w:type="dxa"/>
              <w:bottom w:w="0" w:type="dxa"/>
              <w:right w:w="108" w:type="dxa"/>
            </w:tcMar>
            <w:vAlign w:val="center"/>
          </w:tcPr>
          <w:p>
            <w:pPr>
              <w:jc w:val="center"/>
              <w:rPr>
                <w:rFonts w:ascii="楷体_GB2312" w:eastAsia="楷体_GB2312"/>
              </w:rPr>
            </w:pPr>
            <w:r>
              <w:rPr>
                <w:rFonts w:hint="eastAsia" w:ascii="楷体_GB2312" w:eastAsia="楷体_GB2312"/>
              </w:rPr>
              <w:t>（五）不予</w:t>
            </w:r>
          </w:p>
          <w:p>
            <w:pPr>
              <w:jc w:val="center"/>
              <w:rPr>
                <w:rFonts w:ascii="楷体_GB2312" w:eastAsia="楷体_GB2312"/>
              </w:rPr>
            </w:pPr>
            <w:r>
              <w:rPr>
                <w:rFonts w:hint="eastAsia" w:ascii="楷体_GB2312" w:eastAsia="楷体_GB2312"/>
              </w:rPr>
              <w:t>处理</w:t>
            </w:r>
          </w:p>
        </w:tc>
        <w:tc>
          <w:tcPr>
            <w:tcW w:w="2957" w:type="dxa"/>
            <w:shd w:val="clear" w:color="auto" w:fill="DEEAF6"/>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1.信访举报投诉类申请</w:t>
            </w:r>
          </w:p>
        </w:tc>
        <w:tc>
          <w:tcPr>
            <w:tcW w:w="709" w:type="dxa"/>
            <w:noWrap/>
            <w:tcMar>
              <w:top w:w="0" w:type="dxa"/>
              <w:left w:w="108" w:type="dxa"/>
              <w:bottom w:w="0" w:type="dxa"/>
              <w:right w:w="108" w:type="dxa"/>
            </w:tcMar>
            <w:vAlign w:val="center"/>
          </w:tcPr>
          <w:p>
            <w:pPr>
              <w:widowControl/>
              <w:jc w:val="center"/>
              <w:textAlignment w:val="center"/>
              <w:rPr>
                <w:rFonts w:hint="eastAsia" w:eastAsia="宋体"/>
                <w:lang w:eastAsia="zh-CN"/>
              </w:rPr>
            </w:pPr>
            <w:r>
              <w:rPr>
                <w:rFonts w:hint="eastAsia" w:ascii="Calibri" w:hAnsi="Calibri" w:cs="Calibri"/>
                <w:color w:val="000000"/>
                <w:kern w:val="0"/>
                <w:sz w:val="20"/>
                <w:lang w:val="en-US" w:eastAsia="zh-CN"/>
              </w:rPr>
              <w:t>6</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rPr>
                <w:rFonts w:hint="eastAsia" w:eastAsia="宋体"/>
                <w:lang w:eastAsia="zh-CN"/>
              </w:rPr>
            </w:pPr>
            <w:r>
              <w:rPr>
                <w:rFonts w:hint="eastAsia" w:ascii="Calibri" w:hAnsi="Calibri" w:cs="Calibri"/>
                <w:color w:val="000000"/>
                <w:kern w:val="0"/>
                <w:sz w:val="2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856" w:type="dxa"/>
            <w:vMerge w:val="continue"/>
            <w:shd w:val="clear" w:color="auto" w:fill="BDD6EE"/>
            <w:noWrap/>
            <w:tcMar>
              <w:top w:w="0" w:type="dxa"/>
              <w:left w:w="108" w:type="dxa"/>
              <w:bottom w:w="0" w:type="dxa"/>
              <w:right w:w="108" w:type="dxa"/>
            </w:tcMar>
            <w:vAlign w:val="center"/>
          </w:tcPr>
          <w:p>
            <w:pPr>
              <w:rPr>
                <w:rFonts w:ascii="楷体_GB2312" w:eastAsia="楷体_GB2312"/>
              </w:rPr>
            </w:pPr>
          </w:p>
        </w:tc>
        <w:tc>
          <w:tcPr>
            <w:tcW w:w="2957" w:type="dxa"/>
            <w:shd w:val="clear" w:color="auto" w:fill="DEEAF6"/>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2.重复申请</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856" w:type="dxa"/>
            <w:vMerge w:val="continue"/>
            <w:shd w:val="clear" w:color="auto" w:fill="BDD6EE"/>
            <w:noWrap/>
            <w:tcMar>
              <w:top w:w="0" w:type="dxa"/>
              <w:left w:w="108" w:type="dxa"/>
              <w:bottom w:w="0" w:type="dxa"/>
              <w:right w:w="108" w:type="dxa"/>
            </w:tcMar>
            <w:vAlign w:val="center"/>
          </w:tcPr>
          <w:p>
            <w:pPr>
              <w:rPr>
                <w:rFonts w:ascii="楷体_GB2312" w:eastAsia="楷体_GB2312"/>
              </w:rPr>
            </w:pPr>
          </w:p>
        </w:tc>
        <w:tc>
          <w:tcPr>
            <w:tcW w:w="2957" w:type="dxa"/>
            <w:shd w:val="clear" w:color="auto" w:fill="DEEAF6"/>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3.要求提供公开出版物</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856" w:type="dxa"/>
            <w:vMerge w:val="continue"/>
            <w:shd w:val="clear" w:color="auto" w:fill="BDD6EE"/>
            <w:noWrap/>
            <w:tcMar>
              <w:top w:w="0" w:type="dxa"/>
              <w:left w:w="108" w:type="dxa"/>
              <w:bottom w:w="0" w:type="dxa"/>
              <w:right w:w="108" w:type="dxa"/>
            </w:tcMar>
            <w:vAlign w:val="center"/>
          </w:tcPr>
          <w:p>
            <w:pPr>
              <w:rPr>
                <w:rFonts w:ascii="楷体_GB2312" w:eastAsia="楷体_GB2312"/>
              </w:rPr>
            </w:pPr>
          </w:p>
        </w:tc>
        <w:tc>
          <w:tcPr>
            <w:tcW w:w="2957" w:type="dxa"/>
            <w:shd w:val="clear" w:color="auto" w:fill="DEEAF6"/>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4.无正当理由大量反复申请</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856" w:type="dxa"/>
            <w:vMerge w:val="continue"/>
            <w:shd w:val="clear" w:color="auto" w:fill="BDD6EE"/>
            <w:noWrap/>
            <w:tcMar>
              <w:top w:w="0" w:type="dxa"/>
              <w:left w:w="108" w:type="dxa"/>
              <w:bottom w:w="0" w:type="dxa"/>
              <w:right w:w="108" w:type="dxa"/>
            </w:tcMar>
            <w:vAlign w:val="center"/>
          </w:tcPr>
          <w:p>
            <w:pPr>
              <w:rPr>
                <w:rFonts w:ascii="楷体_GB2312" w:eastAsia="楷体_GB2312"/>
              </w:rPr>
            </w:pPr>
          </w:p>
        </w:tc>
        <w:tc>
          <w:tcPr>
            <w:tcW w:w="2957" w:type="dxa"/>
            <w:shd w:val="clear" w:color="auto" w:fill="DEEAF6"/>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5.要求行政机关确认或重新出具已获取信息</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3813" w:type="dxa"/>
            <w:gridSpan w:val="2"/>
            <w:shd w:val="clear" w:color="auto" w:fill="BDD6EE"/>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（六）其他处理</w:t>
            </w:r>
          </w:p>
        </w:tc>
        <w:tc>
          <w:tcPr>
            <w:tcW w:w="709" w:type="dxa"/>
            <w:noWrap/>
            <w:tcMar>
              <w:top w:w="0" w:type="dxa"/>
              <w:left w:w="108" w:type="dxa"/>
              <w:bottom w:w="0" w:type="dxa"/>
              <w:right w:w="108" w:type="dxa"/>
            </w:tcMar>
            <w:vAlign w:val="center"/>
          </w:tcPr>
          <w:p>
            <w:pPr>
              <w:widowControl/>
              <w:jc w:val="center"/>
              <w:textAlignment w:val="center"/>
              <w:rPr>
                <w:rFonts w:hint="eastAsia" w:eastAsia="宋体"/>
                <w:lang w:eastAsia="zh-CN"/>
              </w:rPr>
            </w:pPr>
            <w:r>
              <w:rPr>
                <w:rFonts w:hint="eastAsia" w:ascii="Calibri" w:hAnsi="Calibri" w:cs="Calibri"/>
                <w:color w:val="000000"/>
                <w:kern w:val="0"/>
                <w:sz w:val="20"/>
                <w:lang w:val="en-US" w:eastAsia="zh-CN"/>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rPr>
                <w:rFonts w:hint="default" w:eastAsia="宋体"/>
                <w:lang w:val="en-US" w:eastAsia="zh-CN"/>
              </w:rPr>
            </w:pPr>
            <w:r>
              <w:rPr>
                <w:rFonts w:hint="eastAsia" w:ascii="Calibri" w:hAnsi="Calibri" w:cs="Calibri"/>
                <w:color w:val="000000"/>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noWrap/>
            <w:tcMar>
              <w:top w:w="0" w:type="dxa"/>
              <w:left w:w="108" w:type="dxa"/>
              <w:bottom w:w="0" w:type="dxa"/>
              <w:right w:w="108" w:type="dxa"/>
            </w:tcMar>
            <w:vAlign w:val="center"/>
          </w:tcPr>
          <w:p/>
        </w:tc>
        <w:tc>
          <w:tcPr>
            <w:tcW w:w="3813" w:type="dxa"/>
            <w:gridSpan w:val="2"/>
            <w:shd w:val="clear" w:color="auto" w:fill="BDD6EE"/>
            <w:noWrap/>
            <w:tcMar>
              <w:top w:w="0" w:type="dxa"/>
              <w:left w:w="108" w:type="dxa"/>
              <w:bottom w:w="0" w:type="dxa"/>
              <w:right w:w="108" w:type="dxa"/>
            </w:tcMar>
            <w:vAlign w:val="center"/>
          </w:tcPr>
          <w:p>
            <w:pPr>
              <w:rPr>
                <w:rFonts w:ascii="楷体_GB2312" w:eastAsia="楷体_GB2312"/>
              </w:rPr>
            </w:pPr>
            <w:r>
              <w:rPr>
                <w:rFonts w:hint="eastAsia" w:ascii="楷体_GB2312" w:eastAsia="楷体_GB2312"/>
              </w:rPr>
              <w:t>（七）总计</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145</w:t>
            </w:r>
          </w:p>
        </w:tc>
        <w:tc>
          <w:tcPr>
            <w:tcW w:w="709" w:type="dxa"/>
            <w:noWrap/>
            <w:tcMar>
              <w:top w:w="0" w:type="dxa"/>
              <w:left w:w="108" w:type="dxa"/>
              <w:bottom w:w="0" w:type="dxa"/>
              <w:right w:w="108" w:type="dxa"/>
            </w:tcMar>
            <w:vAlign w:val="center"/>
          </w:tcPr>
          <w:p>
            <w:pPr>
              <w:widowControl/>
              <w:jc w:val="center"/>
              <w:textAlignment w:val="center"/>
              <w:rPr>
                <w:rFonts w:hint="default" w:eastAsia="宋体"/>
                <w:lang w:val="en-US" w:eastAsia="zh-CN"/>
              </w:rPr>
            </w:pPr>
            <w:r>
              <w:rPr>
                <w:rFonts w:hint="eastAsia" w:ascii="Calibri" w:hAnsi="Calibri" w:cs="Calibri"/>
                <w:color w:val="000000"/>
                <w:kern w:val="0"/>
                <w:sz w:val="20"/>
                <w:lang w:val="en-US" w:eastAsia="zh-CN"/>
              </w:rPr>
              <w:t>25</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2</w:t>
            </w:r>
          </w:p>
        </w:tc>
        <w:tc>
          <w:tcPr>
            <w:tcW w:w="709" w:type="dxa"/>
            <w:noWrap/>
            <w:tcMar>
              <w:top w:w="0" w:type="dxa"/>
              <w:left w:w="108" w:type="dxa"/>
              <w:bottom w:w="0" w:type="dxa"/>
              <w:right w:w="108" w:type="dxa"/>
            </w:tcMar>
            <w:vAlign w:val="center"/>
          </w:tcPr>
          <w:p>
            <w:pPr>
              <w:widowControl/>
              <w:jc w:val="center"/>
              <w:textAlignment w:val="center"/>
              <w:rPr>
                <w:rFonts w:hint="default" w:eastAsia="宋体"/>
                <w:lang w:val="en-US" w:eastAsia="zh-CN"/>
              </w:rPr>
            </w:pPr>
            <w:r>
              <w:rPr>
                <w:rFonts w:hint="eastAsia" w:ascii="Calibri" w:hAnsi="Calibri" w:cs="Calibri"/>
                <w:color w:val="000000"/>
                <w:kern w:val="0"/>
                <w:sz w:val="20"/>
                <w:lang w:val="en-US" w:eastAsia="zh-CN"/>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4212" w:type="dxa"/>
            <w:gridSpan w:val="3"/>
            <w:shd w:val="clear" w:color="auto" w:fill="9CC2E5"/>
            <w:noWrap/>
            <w:tcMar>
              <w:top w:w="0" w:type="dxa"/>
              <w:left w:w="108" w:type="dxa"/>
              <w:bottom w:w="0" w:type="dxa"/>
              <w:right w:w="108" w:type="dxa"/>
            </w:tcMar>
            <w:vAlign w:val="center"/>
          </w:tcPr>
          <w:p>
            <w:r>
              <w:rPr>
                <w:rFonts w:hint="eastAsia"/>
              </w:rPr>
              <w:t>四、结转下年度继续办理</w:t>
            </w:r>
          </w:p>
        </w:tc>
        <w:tc>
          <w:tcPr>
            <w:tcW w:w="709" w:type="dxa"/>
            <w:noWrap/>
            <w:tcMar>
              <w:top w:w="0" w:type="dxa"/>
              <w:left w:w="108" w:type="dxa"/>
              <w:bottom w:w="0" w:type="dxa"/>
              <w:right w:w="108" w:type="dxa"/>
            </w:tcMar>
            <w:vAlign w:val="center"/>
          </w:tcPr>
          <w:p>
            <w:pPr>
              <w:widowControl/>
              <w:jc w:val="center"/>
              <w:textAlignment w:val="center"/>
              <w:rPr>
                <w:rFonts w:hint="eastAsia" w:eastAsia="宋体"/>
                <w:lang w:eastAsia="zh-CN"/>
              </w:rPr>
            </w:pPr>
            <w:r>
              <w:rPr>
                <w:rFonts w:ascii="Calibri" w:hAnsi="Calibri" w:cs="Calibri"/>
                <w:color w:val="000000"/>
                <w:kern w:val="0"/>
                <w:sz w:val="20"/>
              </w:rPr>
              <w:t>1</w:t>
            </w:r>
            <w:r>
              <w:rPr>
                <w:rFonts w:hint="eastAsia" w:ascii="Calibri" w:hAnsi="Calibri" w:cs="Calibri"/>
                <w:color w:val="000000"/>
                <w:kern w:val="0"/>
                <w:sz w:val="20"/>
                <w:lang w:val="en-US" w:eastAsia="zh-CN"/>
              </w:rPr>
              <w:t>2</w:t>
            </w:r>
          </w:p>
        </w:tc>
        <w:tc>
          <w:tcPr>
            <w:tcW w:w="709" w:type="dxa"/>
            <w:noWrap/>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2</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8"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567" w:type="dxa"/>
            <w:noWrap/>
            <w:tcMar>
              <w:top w:w="0" w:type="dxa"/>
              <w:left w:w="108" w:type="dxa"/>
              <w:bottom w:w="0" w:type="dxa"/>
              <w:right w:w="108" w:type="dxa"/>
            </w:tcMar>
            <w:vAlign w:val="center"/>
          </w:tcPr>
          <w:p>
            <w:pPr>
              <w:widowControl/>
              <w:jc w:val="center"/>
              <w:textAlignment w:val="center"/>
            </w:pPr>
            <w:r>
              <w:rPr>
                <w:rFonts w:ascii="Calibri" w:hAnsi="Calibri" w:cs="Calibri"/>
                <w:color w:val="000000"/>
                <w:kern w:val="0"/>
                <w:sz w:val="20"/>
              </w:rPr>
              <w:t>0</w:t>
            </w:r>
          </w:p>
        </w:tc>
        <w:tc>
          <w:tcPr>
            <w:tcW w:w="709" w:type="dxa"/>
            <w:noWrap/>
            <w:tcMar>
              <w:top w:w="0" w:type="dxa"/>
              <w:left w:w="108" w:type="dxa"/>
              <w:bottom w:w="0" w:type="dxa"/>
              <w:right w:w="108" w:type="dxa"/>
            </w:tcMar>
            <w:vAlign w:val="center"/>
          </w:tcPr>
          <w:p>
            <w:pPr>
              <w:widowControl/>
              <w:jc w:val="center"/>
              <w:textAlignment w:val="center"/>
              <w:rPr>
                <w:rFonts w:hint="eastAsia" w:eastAsia="宋体"/>
                <w:lang w:eastAsia="zh-CN"/>
              </w:rPr>
            </w:pPr>
            <w:r>
              <w:rPr>
                <w:rFonts w:ascii="Calibri" w:hAnsi="Calibri" w:cs="Calibri"/>
                <w:color w:val="000000"/>
                <w:kern w:val="0"/>
                <w:sz w:val="20"/>
              </w:rPr>
              <w:t>1</w:t>
            </w:r>
            <w:r>
              <w:rPr>
                <w:rFonts w:hint="eastAsia" w:ascii="Calibri" w:hAnsi="Calibri" w:cs="Calibri"/>
                <w:color w:val="000000"/>
                <w:kern w:val="0"/>
                <w:sz w:val="20"/>
                <w:lang w:val="en-US" w:eastAsia="zh-CN"/>
              </w:rPr>
              <w:t>4</w:t>
            </w:r>
          </w:p>
        </w:tc>
      </w:tr>
    </w:tbl>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7"/>
        <w:tblW w:w="8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7"/>
        <w:gridCol w:w="541"/>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5" w:hRule="atLeast"/>
          <w:jc w:val="center"/>
        </w:trPr>
        <w:tc>
          <w:tcPr>
            <w:tcW w:w="2874" w:type="dxa"/>
            <w:gridSpan w:val="5"/>
            <w:tcBorders>
              <w:bottom w:val="single" w:color="auto" w:sz="4" w:space="0"/>
            </w:tcBorders>
            <w:shd w:val="clear" w:color="auto" w:fill="5B9BD5"/>
            <w:noWrap/>
            <w:tcMar>
              <w:top w:w="0" w:type="dxa"/>
              <w:left w:w="108" w:type="dxa"/>
              <w:bottom w:w="0" w:type="dxa"/>
              <w:right w:w="108" w:type="dxa"/>
            </w:tcMar>
            <w:vAlign w:val="center"/>
          </w:tcPr>
          <w:p>
            <w:pPr>
              <w:jc w:val="center"/>
            </w:pPr>
            <w:r>
              <w:rPr>
                <w:rFonts w:hint="eastAsia"/>
              </w:rPr>
              <w:t>行政复议</w:t>
            </w:r>
          </w:p>
        </w:tc>
        <w:tc>
          <w:tcPr>
            <w:tcW w:w="5997" w:type="dxa"/>
            <w:gridSpan w:val="10"/>
            <w:tcBorders>
              <w:bottom w:val="single" w:color="auto" w:sz="4" w:space="0"/>
            </w:tcBorders>
            <w:shd w:val="clear" w:color="auto" w:fill="5B9BD5"/>
            <w:noWrap/>
            <w:tcMar>
              <w:top w:w="0" w:type="dxa"/>
              <w:left w:w="108" w:type="dxa"/>
              <w:bottom w:w="0" w:type="dxa"/>
              <w:right w:w="108" w:type="dxa"/>
            </w:tcMar>
            <w:vAlign w:val="center"/>
          </w:tcPr>
          <w:p>
            <w:pPr>
              <w:jc w:val="center"/>
            </w:pPr>
            <w:r>
              <w:rPr>
                <w:rFonts w:hint="eastAsia"/>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55" w:hRule="atLeast"/>
          <w:jc w:val="center"/>
        </w:trPr>
        <w:tc>
          <w:tcPr>
            <w:tcW w:w="467" w:type="dxa"/>
            <w:vMerge w:val="restart"/>
            <w:tcBorders>
              <w:top w:val="single" w:color="auto" w:sz="4" w:space="0"/>
            </w:tcBorders>
            <w:shd w:val="clear" w:color="auto" w:fill="auto"/>
            <w:noWrap/>
            <w:tcMar>
              <w:top w:w="0" w:type="dxa"/>
              <w:left w:w="108" w:type="dxa"/>
              <w:bottom w:w="0" w:type="dxa"/>
              <w:right w:w="108" w:type="dxa"/>
            </w:tcMar>
            <w:vAlign w:val="center"/>
          </w:tcPr>
          <w:p>
            <w:pPr>
              <w:jc w:val="center"/>
            </w:pPr>
            <w:r>
              <w:rPr>
                <w:rFonts w:hint="eastAsia"/>
              </w:rPr>
              <w:t>结</w:t>
            </w:r>
          </w:p>
          <w:p>
            <w:pPr>
              <w:jc w:val="center"/>
            </w:pPr>
            <w:r>
              <w:rPr>
                <w:rFonts w:hint="eastAsia"/>
              </w:rPr>
              <w:t>果</w:t>
            </w:r>
          </w:p>
          <w:p>
            <w:pPr>
              <w:jc w:val="center"/>
            </w:pPr>
            <w:r>
              <w:rPr>
                <w:rFonts w:hint="eastAsia"/>
              </w:rPr>
              <w:t>维</w:t>
            </w:r>
          </w:p>
          <w:p>
            <w:pPr>
              <w:jc w:val="center"/>
            </w:pPr>
            <w:r>
              <w:rPr>
                <w:rFonts w:hint="eastAsia"/>
              </w:rPr>
              <w:t>持</w:t>
            </w:r>
          </w:p>
        </w:tc>
        <w:tc>
          <w:tcPr>
            <w:tcW w:w="541" w:type="dxa"/>
            <w:vMerge w:val="restart"/>
            <w:tcBorders>
              <w:top w:val="single" w:color="auto" w:sz="4" w:space="0"/>
            </w:tcBorders>
            <w:shd w:val="clear" w:color="auto" w:fill="auto"/>
            <w:noWrap/>
            <w:tcMar>
              <w:top w:w="0" w:type="dxa"/>
              <w:left w:w="108" w:type="dxa"/>
              <w:bottom w:w="0" w:type="dxa"/>
              <w:right w:w="108" w:type="dxa"/>
            </w:tcMar>
            <w:vAlign w:val="center"/>
          </w:tcPr>
          <w:p>
            <w:pPr>
              <w:jc w:val="center"/>
            </w:pPr>
            <w:r>
              <w:rPr>
                <w:rFonts w:hint="eastAsia"/>
              </w:rPr>
              <w:t>结果纠正</w:t>
            </w:r>
          </w:p>
        </w:tc>
        <w:tc>
          <w:tcPr>
            <w:tcW w:w="604" w:type="dxa"/>
            <w:vMerge w:val="restart"/>
            <w:tcBorders>
              <w:top w:val="single" w:color="auto" w:sz="4" w:space="0"/>
            </w:tcBorders>
            <w:shd w:val="clear" w:color="auto" w:fill="auto"/>
            <w:noWrap/>
            <w:tcMar>
              <w:top w:w="0" w:type="dxa"/>
              <w:left w:w="108" w:type="dxa"/>
              <w:bottom w:w="0" w:type="dxa"/>
              <w:right w:w="108" w:type="dxa"/>
            </w:tcMar>
            <w:vAlign w:val="center"/>
          </w:tcPr>
          <w:p>
            <w:pPr>
              <w:jc w:val="center"/>
            </w:pPr>
            <w:r>
              <w:rPr>
                <w:rFonts w:hint="eastAsia"/>
              </w:rPr>
              <w:t>其他结果</w:t>
            </w:r>
          </w:p>
        </w:tc>
        <w:tc>
          <w:tcPr>
            <w:tcW w:w="604" w:type="dxa"/>
            <w:vMerge w:val="restart"/>
            <w:tcBorders>
              <w:top w:val="single" w:color="auto" w:sz="4" w:space="0"/>
            </w:tcBorders>
            <w:shd w:val="clear" w:color="auto" w:fill="auto"/>
            <w:noWrap/>
            <w:tcMar>
              <w:top w:w="0" w:type="dxa"/>
              <w:left w:w="108" w:type="dxa"/>
              <w:bottom w:w="0" w:type="dxa"/>
              <w:right w:w="108" w:type="dxa"/>
            </w:tcMar>
            <w:vAlign w:val="center"/>
          </w:tcPr>
          <w:p>
            <w:pPr>
              <w:jc w:val="center"/>
            </w:pPr>
            <w:r>
              <w:rPr>
                <w:rFonts w:hint="eastAsia"/>
              </w:rPr>
              <w:t>尚未审结</w:t>
            </w:r>
          </w:p>
        </w:tc>
        <w:tc>
          <w:tcPr>
            <w:tcW w:w="658" w:type="dxa"/>
            <w:vMerge w:val="restart"/>
            <w:tcBorders>
              <w:top w:val="single" w:color="auto" w:sz="4" w:space="0"/>
            </w:tcBorders>
            <w:shd w:val="clear" w:color="auto" w:fill="auto"/>
            <w:noWrap/>
            <w:tcMar>
              <w:top w:w="0" w:type="dxa"/>
              <w:left w:w="108" w:type="dxa"/>
              <w:bottom w:w="0" w:type="dxa"/>
              <w:right w:w="108" w:type="dxa"/>
            </w:tcMar>
            <w:vAlign w:val="center"/>
          </w:tcPr>
          <w:p>
            <w:pPr>
              <w:jc w:val="center"/>
            </w:pPr>
            <w:r>
              <w:rPr>
                <w:rFonts w:hint="eastAsia"/>
              </w:rPr>
              <w:t>总 计</w:t>
            </w:r>
          </w:p>
        </w:tc>
        <w:tc>
          <w:tcPr>
            <w:tcW w:w="2970" w:type="dxa"/>
            <w:gridSpan w:val="5"/>
            <w:tcBorders>
              <w:top w:val="single" w:color="auto" w:sz="4" w:space="0"/>
            </w:tcBorders>
            <w:shd w:val="clear" w:color="auto" w:fill="9CC2E5"/>
            <w:noWrap/>
            <w:tcMar>
              <w:top w:w="0" w:type="dxa"/>
              <w:left w:w="108" w:type="dxa"/>
              <w:bottom w:w="0" w:type="dxa"/>
              <w:right w:w="108" w:type="dxa"/>
            </w:tcMar>
            <w:vAlign w:val="center"/>
          </w:tcPr>
          <w:p>
            <w:pPr>
              <w:jc w:val="center"/>
            </w:pPr>
            <w:r>
              <w:rPr>
                <w:rFonts w:hint="eastAsia"/>
              </w:rPr>
              <w:t>未经复议直接起诉</w:t>
            </w:r>
          </w:p>
        </w:tc>
        <w:tc>
          <w:tcPr>
            <w:tcW w:w="3027" w:type="dxa"/>
            <w:gridSpan w:val="5"/>
            <w:tcBorders>
              <w:top w:val="single" w:color="auto" w:sz="4" w:space="0"/>
            </w:tcBorders>
            <w:shd w:val="clear" w:color="auto" w:fill="9CC2E5"/>
            <w:noWrap/>
            <w:tcMar>
              <w:top w:w="0" w:type="dxa"/>
              <w:left w:w="108" w:type="dxa"/>
              <w:bottom w:w="0" w:type="dxa"/>
              <w:right w:w="108" w:type="dxa"/>
            </w:tcMar>
            <w:vAlign w:val="center"/>
          </w:tcPr>
          <w:p>
            <w:pPr>
              <w:jc w:val="center"/>
            </w:pPr>
            <w:r>
              <w:rPr>
                <w:rFonts w:hint="eastAsia"/>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467" w:type="dxa"/>
            <w:vMerge w:val="continue"/>
            <w:noWrap/>
            <w:tcMar>
              <w:top w:w="0" w:type="dxa"/>
              <w:left w:w="108" w:type="dxa"/>
              <w:bottom w:w="0" w:type="dxa"/>
              <w:right w:w="108" w:type="dxa"/>
            </w:tcMar>
            <w:vAlign w:val="center"/>
          </w:tcPr>
          <w:p>
            <w:pPr>
              <w:jc w:val="center"/>
            </w:pPr>
          </w:p>
        </w:tc>
        <w:tc>
          <w:tcPr>
            <w:tcW w:w="541" w:type="dxa"/>
            <w:vMerge w:val="continue"/>
            <w:noWrap/>
            <w:tcMar>
              <w:top w:w="0" w:type="dxa"/>
              <w:left w:w="108" w:type="dxa"/>
              <w:bottom w:w="0" w:type="dxa"/>
              <w:right w:w="108" w:type="dxa"/>
            </w:tcMar>
            <w:vAlign w:val="center"/>
          </w:tcPr>
          <w:p>
            <w:pPr>
              <w:jc w:val="center"/>
            </w:pPr>
          </w:p>
        </w:tc>
        <w:tc>
          <w:tcPr>
            <w:tcW w:w="604" w:type="dxa"/>
            <w:vMerge w:val="continue"/>
            <w:noWrap/>
            <w:tcMar>
              <w:top w:w="0" w:type="dxa"/>
              <w:left w:w="108" w:type="dxa"/>
              <w:bottom w:w="0" w:type="dxa"/>
              <w:right w:w="108" w:type="dxa"/>
            </w:tcMar>
            <w:vAlign w:val="center"/>
          </w:tcPr>
          <w:p>
            <w:pPr>
              <w:jc w:val="center"/>
            </w:pPr>
          </w:p>
        </w:tc>
        <w:tc>
          <w:tcPr>
            <w:tcW w:w="604" w:type="dxa"/>
            <w:vMerge w:val="continue"/>
            <w:noWrap/>
            <w:tcMar>
              <w:top w:w="0" w:type="dxa"/>
              <w:left w:w="108" w:type="dxa"/>
              <w:bottom w:w="0" w:type="dxa"/>
              <w:right w:w="108" w:type="dxa"/>
            </w:tcMar>
            <w:vAlign w:val="center"/>
          </w:tcPr>
          <w:p>
            <w:pPr>
              <w:jc w:val="center"/>
            </w:pPr>
          </w:p>
        </w:tc>
        <w:tc>
          <w:tcPr>
            <w:tcW w:w="658" w:type="dxa"/>
            <w:vMerge w:val="continue"/>
            <w:noWrap/>
            <w:tcMar>
              <w:top w:w="0" w:type="dxa"/>
              <w:left w:w="108" w:type="dxa"/>
              <w:bottom w:w="0" w:type="dxa"/>
              <w:right w:w="108" w:type="dxa"/>
            </w:tcMar>
            <w:vAlign w:val="center"/>
          </w:tcPr>
          <w:p>
            <w:pPr>
              <w:jc w:val="center"/>
            </w:pPr>
          </w:p>
        </w:tc>
        <w:tc>
          <w:tcPr>
            <w:tcW w:w="550" w:type="dxa"/>
            <w:noWrap/>
            <w:tcMar>
              <w:top w:w="0" w:type="dxa"/>
              <w:left w:w="108" w:type="dxa"/>
              <w:bottom w:w="0" w:type="dxa"/>
              <w:right w:w="108" w:type="dxa"/>
            </w:tcMar>
            <w:vAlign w:val="center"/>
          </w:tcPr>
          <w:p>
            <w:pPr>
              <w:jc w:val="center"/>
            </w:pPr>
            <w:r>
              <w:rPr>
                <w:rFonts w:hint="eastAsia"/>
              </w:rPr>
              <w:t>结果维持</w:t>
            </w:r>
          </w:p>
        </w:tc>
        <w:tc>
          <w:tcPr>
            <w:tcW w:w="605" w:type="dxa"/>
            <w:noWrap/>
            <w:tcMar>
              <w:top w:w="0" w:type="dxa"/>
              <w:left w:w="108" w:type="dxa"/>
              <w:bottom w:w="0" w:type="dxa"/>
              <w:right w:w="108" w:type="dxa"/>
            </w:tcMar>
            <w:vAlign w:val="center"/>
          </w:tcPr>
          <w:p>
            <w:pPr>
              <w:jc w:val="center"/>
            </w:pPr>
            <w:r>
              <w:rPr>
                <w:rFonts w:hint="eastAsia"/>
              </w:rPr>
              <w:t>结果纠正</w:t>
            </w:r>
          </w:p>
        </w:tc>
        <w:tc>
          <w:tcPr>
            <w:tcW w:w="605" w:type="dxa"/>
            <w:noWrap/>
            <w:tcMar>
              <w:top w:w="0" w:type="dxa"/>
              <w:left w:w="108" w:type="dxa"/>
              <w:bottom w:w="0" w:type="dxa"/>
              <w:right w:w="108" w:type="dxa"/>
            </w:tcMar>
            <w:vAlign w:val="center"/>
          </w:tcPr>
          <w:p>
            <w:pPr>
              <w:jc w:val="center"/>
            </w:pPr>
            <w:r>
              <w:rPr>
                <w:rFonts w:hint="eastAsia"/>
              </w:rPr>
              <w:t>其他结果</w:t>
            </w:r>
          </w:p>
        </w:tc>
        <w:tc>
          <w:tcPr>
            <w:tcW w:w="605" w:type="dxa"/>
            <w:noWrap/>
            <w:tcMar>
              <w:top w:w="0" w:type="dxa"/>
              <w:left w:w="108" w:type="dxa"/>
              <w:bottom w:w="0" w:type="dxa"/>
              <w:right w:w="108" w:type="dxa"/>
            </w:tcMar>
            <w:vAlign w:val="center"/>
          </w:tcPr>
          <w:p>
            <w:pPr>
              <w:jc w:val="center"/>
            </w:pPr>
            <w:r>
              <w:rPr>
                <w:rFonts w:hint="eastAsia"/>
              </w:rPr>
              <w:t>尚未审结</w:t>
            </w:r>
          </w:p>
        </w:tc>
        <w:tc>
          <w:tcPr>
            <w:tcW w:w="605" w:type="dxa"/>
            <w:noWrap/>
            <w:tcMar>
              <w:top w:w="0" w:type="dxa"/>
              <w:left w:w="108" w:type="dxa"/>
              <w:bottom w:w="0" w:type="dxa"/>
              <w:right w:w="108" w:type="dxa"/>
            </w:tcMar>
            <w:vAlign w:val="center"/>
          </w:tcPr>
          <w:p>
            <w:pPr>
              <w:jc w:val="center"/>
            </w:pPr>
            <w:r>
              <w:rPr>
                <w:rFonts w:hint="eastAsia"/>
              </w:rPr>
              <w:t>总计</w:t>
            </w:r>
          </w:p>
        </w:tc>
        <w:tc>
          <w:tcPr>
            <w:tcW w:w="605" w:type="dxa"/>
            <w:noWrap/>
            <w:tcMar>
              <w:top w:w="0" w:type="dxa"/>
              <w:left w:w="108" w:type="dxa"/>
              <w:bottom w:w="0" w:type="dxa"/>
              <w:right w:w="108" w:type="dxa"/>
            </w:tcMar>
            <w:vAlign w:val="center"/>
          </w:tcPr>
          <w:p>
            <w:pPr>
              <w:jc w:val="center"/>
            </w:pPr>
            <w:r>
              <w:rPr>
                <w:rFonts w:hint="eastAsia"/>
              </w:rPr>
              <w:t>结果维持</w:t>
            </w:r>
          </w:p>
        </w:tc>
        <w:tc>
          <w:tcPr>
            <w:tcW w:w="605" w:type="dxa"/>
            <w:noWrap/>
            <w:tcMar>
              <w:top w:w="0" w:type="dxa"/>
              <w:left w:w="108" w:type="dxa"/>
              <w:bottom w:w="0" w:type="dxa"/>
              <w:right w:w="108" w:type="dxa"/>
            </w:tcMar>
            <w:vAlign w:val="center"/>
          </w:tcPr>
          <w:p>
            <w:pPr>
              <w:jc w:val="center"/>
            </w:pPr>
            <w:r>
              <w:rPr>
                <w:rFonts w:hint="eastAsia"/>
              </w:rPr>
              <w:t>结果纠正</w:t>
            </w:r>
          </w:p>
        </w:tc>
        <w:tc>
          <w:tcPr>
            <w:tcW w:w="605" w:type="dxa"/>
            <w:noWrap/>
            <w:tcMar>
              <w:top w:w="0" w:type="dxa"/>
              <w:left w:w="108" w:type="dxa"/>
              <w:bottom w:w="0" w:type="dxa"/>
              <w:right w:w="108" w:type="dxa"/>
            </w:tcMar>
            <w:vAlign w:val="center"/>
          </w:tcPr>
          <w:p>
            <w:pPr>
              <w:jc w:val="center"/>
            </w:pPr>
            <w:r>
              <w:rPr>
                <w:rFonts w:hint="eastAsia"/>
              </w:rPr>
              <w:t>其他结果</w:t>
            </w:r>
          </w:p>
        </w:tc>
        <w:tc>
          <w:tcPr>
            <w:tcW w:w="606" w:type="dxa"/>
            <w:noWrap/>
            <w:tcMar>
              <w:top w:w="0" w:type="dxa"/>
              <w:left w:w="108" w:type="dxa"/>
              <w:bottom w:w="0" w:type="dxa"/>
              <w:right w:w="108" w:type="dxa"/>
            </w:tcMar>
            <w:vAlign w:val="center"/>
          </w:tcPr>
          <w:p>
            <w:pPr>
              <w:jc w:val="center"/>
            </w:pPr>
            <w:r>
              <w:rPr>
                <w:rFonts w:hint="eastAsia"/>
              </w:rPr>
              <w:t>尚未审结</w:t>
            </w:r>
          </w:p>
        </w:tc>
        <w:tc>
          <w:tcPr>
            <w:tcW w:w="606" w:type="dxa"/>
            <w:noWrap/>
            <w:tcMar>
              <w:top w:w="0" w:type="dxa"/>
              <w:left w:w="108" w:type="dxa"/>
              <w:bottom w:w="0" w:type="dxa"/>
              <w:right w:w="108" w:type="dxa"/>
            </w:tcMar>
            <w:vAlign w:val="center"/>
          </w:tcPr>
          <w:p>
            <w:pPr>
              <w:jc w:val="center"/>
            </w:pPr>
            <w:r>
              <w:rPr>
                <w:rFonts w:hint="eastAsia"/>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4" w:hRule="atLeast"/>
          <w:jc w:val="center"/>
        </w:trPr>
        <w:tc>
          <w:tcPr>
            <w:tcW w:w="467" w:type="dxa"/>
            <w:noWrap/>
            <w:tcMar>
              <w:top w:w="0" w:type="dxa"/>
              <w:left w:w="108" w:type="dxa"/>
              <w:bottom w:w="0" w:type="dxa"/>
              <w:right w:w="108" w:type="dxa"/>
            </w:tcMar>
            <w:vAlign w:val="center"/>
          </w:tcPr>
          <w:p>
            <w:pPr>
              <w:jc w:val="center"/>
            </w:pPr>
            <w:r>
              <w:rPr>
                <w:rFonts w:hint="eastAsia"/>
              </w:rPr>
              <w:t>6</w:t>
            </w:r>
          </w:p>
        </w:tc>
        <w:tc>
          <w:tcPr>
            <w:tcW w:w="541" w:type="dxa"/>
            <w:noWrap/>
            <w:tcMar>
              <w:top w:w="0" w:type="dxa"/>
              <w:left w:w="108" w:type="dxa"/>
              <w:bottom w:w="0" w:type="dxa"/>
              <w:right w:w="108" w:type="dxa"/>
            </w:tcMar>
            <w:vAlign w:val="center"/>
          </w:tcPr>
          <w:p>
            <w:pPr>
              <w:jc w:val="center"/>
            </w:pPr>
            <w:r>
              <w:rPr>
                <w:rFonts w:hint="eastAsia"/>
              </w:rPr>
              <w:t>0</w:t>
            </w:r>
          </w:p>
        </w:tc>
        <w:tc>
          <w:tcPr>
            <w:tcW w:w="604" w:type="dxa"/>
            <w:noWrap/>
            <w:tcMar>
              <w:top w:w="0" w:type="dxa"/>
              <w:left w:w="108" w:type="dxa"/>
              <w:bottom w:w="0" w:type="dxa"/>
              <w:right w:w="108" w:type="dxa"/>
            </w:tcMar>
            <w:vAlign w:val="center"/>
          </w:tcPr>
          <w:p>
            <w:pPr>
              <w:jc w:val="center"/>
            </w:pPr>
            <w:r>
              <w:rPr>
                <w:rFonts w:hint="eastAsia"/>
              </w:rPr>
              <w:t>2</w:t>
            </w:r>
          </w:p>
        </w:tc>
        <w:tc>
          <w:tcPr>
            <w:tcW w:w="604" w:type="dxa"/>
            <w:noWrap/>
            <w:tcMar>
              <w:top w:w="0" w:type="dxa"/>
              <w:left w:w="108" w:type="dxa"/>
              <w:bottom w:w="0" w:type="dxa"/>
              <w:right w:w="108" w:type="dxa"/>
            </w:tcMar>
            <w:vAlign w:val="center"/>
          </w:tcPr>
          <w:p>
            <w:pPr>
              <w:jc w:val="center"/>
            </w:pPr>
            <w:r>
              <w:rPr>
                <w:rFonts w:hint="eastAsia"/>
              </w:rPr>
              <w:t>0</w:t>
            </w:r>
          </w:p>
        </w:tc>
        <w:tc>
          <w:tcPr>
            <w:tcW w:w="658" w:type="dxa"/>
            <w:noWrap/>
            <w:tcMar>
              <w:top w:w="0" w:type="dxa"/>
              <w:left w:w="108" w:type="dxa"/>
              <w:bottom w:w="0" w:type="dxa"/>
              <w:right w:w="108" w:type="dxa"/>
            </w:tcMar>
            <w:vAlign w:val="center"/>
          </w:tcPr>
          <w:p>
            <w:pPr>
              <w:jc w:val="center"/>
            </w:pPr>
            <w:r>
              <w:rPr>
                <w:rFonts w:hint="eastAsia"/>
              </w:rPr>
              <w:t>8</w:t>
            </w:r>
          </w:p>
        </w:tc>
        <w:tc>
          <w:tcPr>
            <w:tcW w:w="550" w:type="dxa"/>
            <w:noWrap/>
            <w:tcMar>
              <w:top w:w="0" w:type="dxa"/>
              <w:left w:w="108" w:type="dxa"/>
              <w:bottom w:w="0" w:type="dxa"/>
              <w:right w:w="108" w:type="dxa"/>
            </w:tcMar>
            <w:vAlign w:val="center"/>
          </w:tcPr>
          <w:p>
            <w:pPr>
              <w:jc w:val="center"/>
            </w:pPr>
            <w:r>
              <w:rPr>
                <w:rFonts w:hint="eastAsia"/>
              </w:rPr>
              <w:t>1</w:t>
            </w:r>
          </w:p>
        </w:tc>
        <w:tc>
          <w:tcPr>
            <w:tcW w:w="605" w:type="dxa"/>
            <w:noWrap/>
            <w:tcMar>
              <w:top w:w="0" w:type="dxa"/>
              <w:left w:w="108" w:type="dxa"/>
              <w:bottom w:w="0" w:type="dxa"/>
              <w:right w:w="108" w:type="dxa"/>
            </w:tcMar>
            <w:vAlign w:val="center"/>
          </w:tcPr>
          <w:p>
            <w:pPr>
              <w:jc w:val="center"/>
            </w:pPr>
            <w:r>
              <w:rPr>
                <w:rFonts w:hint="eastAsia"/>
              </w:rPr>
              <w:t>0</w:t>
            </w:r>
          </w:p>
        </w:tc>
        <w:tc>
          <w:tcPr>
            <w:tcW w:w="605" w:type="dxa"/>
            <w:noWrap/>
            <w:tcMar>
              <w:top w:w="0" w:type="dxa"/>
              <w:left w:w="108" w:type="dxa"/>
              <w:bottom w:w="0" w:type="dxa"/>
              <w:right w:w="108" w:type="dxa"/>
            </w:tcMar>
            <w:vAlign w:val="center"/>
          </w:tcPr>
          <w:p>
            <w:pPr>
              <w:jc w:val="center"/>
            </w:pPr>
            <w:r>
              <w:rPr>
                <w:rFonts w:hint="eastAsia"/>
              </w:rPr>
              <w:t>0</w:t>
            </w:r>
          </w:p>
        </w:tc>
        <w:tc>
          <w:tcPr>
            <w:tcW w:w="605" w:type="dxa"/>
            <w:noWrap/>
            <w:tcMar>
              <w:top w:w="0" w:type="dxa"/>
              <w:left w:w="108" w:type="dxa"/>
              <w:bottom w:w="0" w:type="dxa"/>
              <w:right w:w="108" w:type="dxa"/>
            </w:tcMar>
            <w:vAlign w:val="center"/>
          </w:tcPr>
          <w:p>
            <w:pPr>
              <w:jc w:val="center"/>
            </w:pPr>
            <w:r>
              <w:rPr>
                <w:rFonts w:hint="eastAsia"/>
              </w:rPr>
              <w:t>0</w:t>
            </w:r>
          </w:p>
        </w:tc>
        <w:tc>
          <w:tcPr>
            <w:tcW w:w="605" w:type="dxa"/>
            <w:noWrap/>
            <w:tcMar>
              <w:top w:w="0" w:type="dxa"/>
              <w:left w:w="108" w:type="dxa"/>
              <w:bottom w:w="0" w:type="dxa"/>
              <w:right w:w="108" w:type="dxa"/>
            </w:tcMar>
            <w:vAlign w:val="center"/>
          </w:tcPr>
          <w:p>
            <w:pPr>
              <w:jc w:val="center"/>
            </w:pPr>
            <w:r>
              <w:rPr>
                <w:rFonts w:hint="eastAsia"/>
              </w:rPr>
              <w:t>1</w:t>
            </w:r>
          </w:p>
        </w:tc>
        <w:tc>
          <w:tcPr>
            <w:tcW w:w="605" w:type="dxa"/>
            <w:noWrap/>
            <w:tcMar>
              <w:top w:w="0" w:type="dxa"/>
              <w:left w:w="108" w:type="dxa"/>
              <w:bottom w:w="0" w:type="dxa"/>
              <w:right w:w="108" w:type="dxa"/>
            </w:tcMar>
            <w:vAlign w:val="center"/>
          </w:tcPr>
          <w:p>
            <w:pPr>
              <w:jc w:val="center"/>
            </w:pPr>
            <w:r>
              <w:rPr>
                <w:rFonts w:hint="eastAsia"/>
              </w:rPr>
              <w:t>1</w:t>
            </w:r>
          </w:p>
        </w:tc>
        <w:tc>
          <w:tcPr>
            <w:tcW w:w="605" w:type="dxa"/>
            <w:noWrap/>
            <w:tcMar>
              <w:top w:w="0" w:type="dxa"/>
              <w:left w:w="108" w:type="dxa"/>
              <w:bottom w:w="0" w:type="dxa"/>
              <w:right w:w="108" w:type="dxa"/>
            </w:tcMar>
            <w:vAlign w:val="center"/>
          </w:tcPr>
          <w:p>
            <w:pPr>
              <w:jc w:val="center"/>
            </w:pPr>
            <w:r>
              <w:rPr>
                <w:rFonts w:hint="eastAsia"/>
              </w:rPr>
              <w:t>0</w:t>
            </w:r>
          </w:p>
        </w:tc>
        <w:tc>
          <w:tcPr>
            <w:tcW w:w="605" w:type="dxa"/>
            <w:noWrap/>
            <w:tcMar>
              <w:top w:w="0" w:type="dxa"/>
              <w:left w:w="108" w:type="dxa"/>
              <w:bottom w:w="0" w:type="dxa"/>
              <w:right w:w="108" w:type="dxa"/>
            </w:tcMar>
            <w:vAlign w:val="center"/>
          </w:tcPr>
          <w:p>
            <w:pPr>
              <w:jc w:val="center"/>
            </w:pPr>
            <w:r>
              <w:rPr>
                <w:rFonts w:hint="eastAsia"/>
              </w:rPr>
              <w:t>1</w:t>
            </w:r>
          </w:p>
        </w:tc>
        <w:tc>
          <w:tcPr>
            <w:tcW w:w="606" w:type="dxa"/>
            <w:noWrap/>
            <w:tcMar>
              <w:top w:w="0" w:type="dxa"/>
              <w:left w:w="108" w:type="dxa"/>
              <w:bottom w:w="0" w:type="dxa"/>
              <w:right w:w="108" w:type="dxa"/>
            </w:tcMar>
            <w:vAlign w:val="center"/>
          </w:tcPr>
          <w:p>
            <w:pPr>
              <w:jc w:val="center"/>
            </w:pPr>
            <w:r>
              <w:rPr>
                <w:rFonts w:hint="eastAsia"/>
              </w:rPr>
              <w:t>0</w:t>
            </w:r>
          </w:p>
        </w:tc>
        <w:tc>
          <w:tcPr>
            <w:tcW w:w="606" w:type="dxa"/>
            <w:noWrap/>
            <w:tcMar>
              <w:top w:w="0" w:type="dxa"/>
              <w:left w:w="108" w:type="dxa"/>
              <w:bottom w:w="0" w:type="dxa"/>
              <w:right w:w="108" w:type="dxa"/>
            </w:tcMar>
            <w:vAlign w:val="center"/>
          </w:tcPr>
          <w:p>
            <w:pPr>
              <w:jc w:val="center"/>
            </w:pPr>
            <w:r>
              <w:rPr>
                <w:rFonts w:hint="eastAsia"/>
              </w:rPr>
              <w:t>2</w:t>
            </w:r>
          </w:p>
        </w:tc>
      </w:tr>
    </w:tbl>
    <w:p>
      <w:pPr>
        <w:widowControl w:val="0"/>
        <w:spacing w:line="560" w:lineRule="exact"/>
        <w:ind w:firstLine="672" w:firstLineChars="200"/>
        <w:jc w:val="both"/>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val="0"/>
        <w:spacing w:line="560" w:lineRule="exact"/>
        <w:ind w:firstLine="672" w:firstLineChars="200"/>
        <w:jc w:val="both"/>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2020年住建委按照《条例》总体要求开展各项工作，但还存在以下不足：一是主动公开的意识有待进一步提升；二是公开内容还能进一步丰富；三是时效性仍需进一步提高。结合工作中存在问题和不足，下一步将从以下几个方面进行改进：一是加大培训力度，定期对分管此项工作的人员进行培训，强化工作人员业务素质，提高工作能力。二是进一步健全工作机制，规范工作流程，细化量化考核标准，着力提高工作效率。三是从规范信息收集、整理、审查等基础工作入手，进一步做好信息公开工作，提高工作质量。</w:t>
      </w:r>
    </w:p>
    <w:p>
      <w:pPr>
        <w:widowControl w:val="0"/>
        <w:spacing w:line="560" w:lineRule="exact"/>
        <w:ind w:firstLine="672" w:firstLineChars="200"/>
        <w:jc w:val="both"/>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4"/>
        <w:spacing w:line="560" w:lineRule="exact"/>
        <w:ind w:firstLine="672" w:firstLineChars="200"/>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无</w:t>
      </w:r>
      <w:r>
        <w:rPr>
          <w:rFonts w:hint="eastAsia" w:ascii="仿宋_GB2312" w:hAnsi="宋体" w:eastAsia="仿宋_GB2312" w:cs="宋体"/>
          <w:spacing w:val="8"/>
          <w:kern w:val="0"/>
          <w:sz w:val="32"/>
          <w:szCs w:val="32"/>
          <w:lang w:eastAsia="zh-CN"/>
        </w:rPr>
        <w:t>。</w:t>
      </w:r>
      <w:bookmarkStart w:id="0" w:name="_GoBack"/>
      <w:bookmarkEnd w:id="0"/>
    </w:p>
    <w:sectPr>
      <w:footerReference r:id="rId3" w:type="default"/>
      <w:pgSz w:w="11906" w:h="16838"/>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51203"/>
      <w:docPartObj>
        <w:docPartGallery w:val="autotext"/>
      </w:docPartObj>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C5B19"/>
    <w:rsid w:val="000036E0"/>
    <w:rsid w:val="00021A28"/>
    <w:rsid w:val="00044F38"/>
    <w:rsid w:val="0005612B"/>
    <w:rsid w:val="00060C03"/>
    <w:rsid w:val="000632F8"/>
    <w:rsid w:val="001132A8"/>
    <w:rsid w:val="001208CC"/>
    <w:rsid w:val="00120C1B"/>
    <w:rsid w:val="0018765F"/>
    <w:rsid w:val="001D7AE3"/>
    <w:rsid w:val="002237FC"/>
    <w:rsid w:val="002C6448"/>
    <w:rsid w:val="002E44E3"/>
    <w:rsid w:val="003E6DCC"/>
    <w:rsid w:val="00507F01"/>
    <w:rsid w:val="00531D7C"/>
    <w:rsid w:val="00543C10"/>
    <w:rsid w:val="0056082E"/>
    <w:rsid w:val="005C403F"/>
    <w:rsid w:val="006776EA"/>
    <w:rsid w:val="00752B97"/>
    <w:rsid w:val="007B113E"/>
    <w:rsid w:val="00847A29"/>
    <w:rsid w:val="00851881"/>
    <w:rsid w:val="00885D30"/>
    <w:rsid w:val="00955D45"/>
    <w:rsid w:val="009711EC"/>
    <w:rsid w:val="009B1D04"/>
    <w:rsid w:val="009E75A9"/>
    <w:rsid w:val="00A329B0"/>
    <w:rsid w:val="00A538B7"/>
    <w:rsid w:val="00A66899"/>
    <w:rsid w:val="00AA0677"/>
    <w:rsid w:val="00AB61C4"/>
    <w:rsid w:val="00B0643A"/>
    <w:rsid w:val="00BC5D85"/>
    <w:rsid w:val="00CE47EA"/>
    <w:rsid w:val="00CF0396"/>
    <w:rsid w:val="00D15D2C"/>
    <w:rsid w:val="00E03061"/>
    <w:rsid w:val="00EC7D32"/>
    <w:rsid w:val="00ED796D"/>
    <w:rsid w:val="00F60B37"/>
    <w:rsid w:val="0653382F"/>
    <w:rsid w:val="09522650"/>
    <w:rsid w:val="12E205C4"/>
    <w:rsid w:val="17C14304"/>
    <w:rsid w:val="1BB31D92"/>
    <w:rsid w:val="1CFD7125"/>
    <w:rsid w:val="25300C07"/>
    <w:rsid w:val="275D1451"/>
    <w:rsid w:val="2AD27C6C"/>
    <w:rsid w:val="383A5CAB"/>
    <w:rsid w:val="3BF42243"/>
    <w:rsid w:val="4A715646"/>
    <w:rsid w:val="4C2251EE"/>
    <w:rsid w:val="54920E34"/>
    <w:rsid w:val="6033228B"/>
    <w:rsid w:val="67AC5B19"/>
    <w:rsid w:val="70FA0939"/>
    <w:rsid w:val="718D330F"/>
    <w:rsid w:val="71B85849"/>
    <w:rsid w:val="78232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Document Map"/>
    <w:basedOn w:val="1"/>
    <w:link w:val="9"/>
    <w:qFormat/>
    <w:uiPriority w:val="0"/>
    <w:rPr>
      <w:rFonts w:ascii="宋体"/>
      <w:sz w:val="18"/>
      <w:szCs w:val="18"/>
    </w:rPr>
  </w:style>
  <w:style w:type="paragraph" w:styleId="4">
    <w:name w:val="Plain Text"/>
    <w:basedOn w:val="1"/>
    <w:qFormat/>
    <w:uiPriority w:val="0"/>
    <w:rPr>
      <w:rFonts w:ascii="宋体" w:hAnsi="Courier New"/>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文档结构图 Char"/>
    <w:basedOn w:val="8"/>
    <w:link w:val="3"/>
    <w:qFormat/>
    <w:uiPriority w:val="0"/>
    <w:rPr>
      <w:rFonts w:ascii="宋体" w:hAnsi="Times New Roman" w:eastAsia="宋体" w:cs="Times New Roman"/>
      <w:kern w:val="2"/>
      <w:sz w:val="18"/>
      <w:szCs w:val="18"/>
    </w:rPr>
  </w:style>
  <w:style w:type="character" w:customStyle="1" w:styleId="10">
    <w:name w:val="页眉 Char"/>
    <w:basedOn w:val="8"/>
    <w:link w:val="6"/>
    <w:qFormat/>
    <w:uiPriority w:val="0"/>
    <w:rPr>
      <w:rFonts w:ascii="Times New Roman" w:hAnsi="Times New Roman" w:eastAsia="宋体" w:cs="Times New Roman"/>
      <w:kern w:val="2"/>
      <w:sz w:val="18"/>
      <w:szCs w:val="18"/>
    </w:rPr>
  </w:style>
  <w:style w:type="character" w:customStyle="1" w:styleId="11">
    <w:name w:val="页脚 Char"/>
    <w:basedOn w:val="8"/>
    <w:link w:val="5"/>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CHY</Company>
  <Pages>5</Pages>
  <Words>400</Words>
  <Characters>2282</Characters>
  <Lines>19</Lines>
  <Paragraphs>5</Paragraphs>
  <TotalTime>16</TotalTime>
  <ScaleCrop>false</ScaleCrop>
  <LinksUpToDate>false</LinksUpToDate>
  <CharactersWithSpaces>2677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2020-12-14T06:11:00Z</dcterms:created>
  <dc:creator>zhaickson</dc:creator>
  <cp:lastModifiedBy>信息公开科</cp:lastModifiedBy>
  <cp:lastPrinted>2020-12-15T03:07:00Z</cp:lastPrinted>
  <dcterms:modified xsi:type="dcterms:W3CDTF">2021-01-12T03:28:22Z</dcterms:modified>
  <dc:title>北京市大兴区住房与城乡建设委员会</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