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北京市大兴区发展和改革委员会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依据《中华人民共和国政府信息公开条例》第五十条规定，编制本报告。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1.</w:t>
      </w:r>
      <w:r>
        <w:rPr>
          <w:rFonts w:hint="eastAsia" w:ascii="楷体" w:hAnsi="楷体" w:eastAsia="楷体" w:cs="楷体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强化组织领导。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发改委加强信息公开工作组织领导，坚持党组专题研究政府信息公开工作，集体讨论修订本委信息公开工作制度，以《大兴区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政务公开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工作要点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》为指导，分解细化形成《发改委政务公开公开要点》，强化信息公开意识，进一步厘清政府信息公开责任。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sz w:val="32"/>
          <w:szCs w:val="32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2.坚持</w:t>
      </w:r>
      <w:r>
        <w:rPr>
          <w:rFonts w:hint="eastAsia" w:ascii="楷体" w:hAnsi="楷体" w:eastAsia="楷体" w:cs="楷体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主动公开常态化。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本委主动公开了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本委基本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政务信息。同时主动公开了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工作动态类信息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本区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经济社会发展第十四个五年发展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规划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研究相关信息、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年度计划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及“疏解整治促提升”、扶贫攻坚、优化营商环境等工作进展、成果信息。其中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重点领域信息公开16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条，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综合要闻3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通知公告2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条，行政许可信息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226条。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并按照相关要求及时公开了发改委201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财政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决算信息和20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年财政预算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信息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3.抓好依申请办理。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年度本委共接到人民群众、法人或其他组织提出的要求公开信息申请4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件，答复办结4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件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（含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上年结转政府信息公开申请1件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突出以人民为中心理念，压缩办理时限，高效服务人民。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4.注重教育培训工作。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组织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学习《中华人民共和国政府信息公开条例》，积极参加上级组织的政务公开教育培训，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细化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落实《大兴区20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年政务公开工作要点》，梳理政务公开事项清单，及时公开政府信息，认真整改政务公开工作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中存在的问题和不足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强化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依法公开观念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，增强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责任意识，不断提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eastAsia="zh-CN"/>
        </w:rPr>
        <w:t>升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</w:rPr>
        <w:t>政务公开能力水平。</w:t>
      </w:r>
    </w:p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5.依法办理行政复议。</w:t>
      </w: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u w:val="none"/>
          <w:shd w:val="clear" w:fill="FFFFFF"/>
          <w:lang w:val="en-US" w:eastAsia="zh-CN"/>
        </w:rPr>
        <w:t>2020年收到政府信息公开行政复议4件（含2019年12月转入本年1件），区政府做出维持本委答复意见决定2件，申请人主动撤诉2件。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6"/>
        <w:tblW w:w="86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230"/>
        <w:gridCol w:w="2175"/>
        <w:gridCol w:w="1887"/>
        <w:gridCol w:w="17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本年新制作数量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本年新公开数量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对外公开总数量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规章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规范性文件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行政许可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其他对外管理服务事项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检查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＋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</w:t>
            </w:r>
            <w:r>
              <w:t>确认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＋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行政处罚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＋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行政强制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上一年项目数量</w:t>
            </w:r>
          </w:p>
        </w:tc>
        <w:tc>
          <w:tcPr>
            <w:tcW w:w="3636" w:type="dxa"/>
            <w:gridSpan w:val="2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行政事业性收费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信息内容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采购项目数量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BDD6EE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采购总金额（万元，保留四位小数）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9CC2E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政府集中采购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7.0000</w:t>
            </w:r>
          </w:p>
        </w:tc>
      </w:tr>
    </w:tbl>
    <w:p>
      <w:pPr>
        <w:spacing w:line="560" w:lineRule="exact"/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6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"/>
        <w:gridCol w:w="856"/>
        <w:gridCol w:w="2957"/>
        <w:gridCol w:w="709"/>
        <w:gridCol w:w="709"/>
        <w:gridCol w:w="709"/>
        <w:gridCol w:w="708"/>
        <w:gridCol w:w="709"/>
        <w:gridCol w:w="56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  <w:jc w:val="center"/>
        </w:trPr>
        <w:tc>
          <w:tcPr>
            <w:tcW w:w="4212" w:type="dxa"/>
            <w:gridSpan w:val="3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自然人</w:t>
            </w:r>
          </w:p>
        </w:tc>
        <w:tc>
          <w:tcPr>
            <w:tcW w:w="3402" w:type="dxa"/>
            <w:gridSpan w:val="5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法人或其他组织</w:t>
            </w:r>
          </w:p>
        </w:tc>
        <w:tc>
          <w:tcPr>
            <w:tcW w:w="709" w:type="dxa"/>
            <w:vMerge w:val="restart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09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商业企业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科研机构</w:t>
            </w:r>
          </w:p>
        </w:tc>
        <w:tc>
          <w:tcPr>
            <w:tcW w:w="708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社会公益组织</w:t>
            </w:r>
          </w:p>
        </w:tc>
        <w:tc>
          <w:tcPr>
            <w:tcW w:w="709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法律服务机构</w:t>
            </w:r>
          </w:p>
        </w:tc>
        <w:tc>
          <w:tcPr>
            <w:tcW w:w="567" w:type="dxa"/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70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Calibri" w:hAnsi="Calibri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restart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（一）予以公开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（三）不予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公开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1.属于国家秘密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2.其他法律行政法规禁止公开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3.危及“三安全一稳定”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4.保护第三方合法权益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5.属于三类内部事务信息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6.属于四类过程性信息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7.属于行政执法案卷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8.属于行政查询事项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（四）无法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提供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1.本机关不掌握相关政府信息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Calibri" w:hAnsi="Calibri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Calibri" w:hAnsi="Calibri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2.没有现成信息需要另行制作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3.补正后申请内容仍不明确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（五）不予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处理</w:t>
            </w: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1.信访举报投诉类申请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2.重复申请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3.要求提供公开出版物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4.无正当理由大量反复申请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6" w:type="dxa"/>
            <w:vMerge w:val="continue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2957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5.要求行政机关确认或重新出具已获取信息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（六）其他处理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399" w:type="dxa"/>
            <w:vMerge w:val="continue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13" w:type="dxa"/>
            <w:gridSpan w:val="2"/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（七）总计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Calibri" w:hAnsi="Calibri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212" w:type="dxa"/>
            <w:gridSpan w:val="3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6"/>
        <w:tblW w:w="88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541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  <w:jc w:val="center"/>
        </w:trPr>
        <w:tc>
          <w:tcPr>
            <w:tcW w:w="2874" w:type="dxa"/>
            <w:gridSpan w:val="5"/>
            <w:tcBorders>
              <w:bottom w:val="single" w:color="auto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行政复议</w:t>
            </w:r>
          </w:p>
        </w:tc>
        <w:tc>
          <w:tcPr>
            <w:tcW w:w="5997" w:type="dxa"/>
            <w:gridSpan w:val="10"/>
            <w:tcBorders>
              <w:bottom w:val="single" w:color="auto" w:sz="4" w:space="0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467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</w:t>
            </w:r>
          </w:p>
          <w:p>
            <w:pPr>
              <w:jc w:val="center"/>
            </w:pPr>
            <w:r>
              <w:rPr>
                <w:rFonts w:hint="eastAsia"/>
              </w:rPr>
              <w:t>果</w:t>
            </w:r>
          </w:p>
          <w:p>
            <w:pPr>
              <w:jc w:val="center"/>
            </w:pPr>
            <w:r>
              <w:rPr>
                <w:rFonts w:hint="eastAsia"/>
              </w:rPr>
              <w:t>维</w:t>
            </w:r>
          </w:p>
          <w:p>
            <w:pPr>
              <w:jc w:val="center"/>
            </w:pPr>
            <w:r>
              <w:rPr>
                <w:rFonts w:hint="eastAsia"/>
              </w:rPr>
              <w:t>持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 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67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4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0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结果维持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结果纠正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其他结果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尚未审结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4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</w:rPr>
        <w:t>公开力度还需要进一步加强。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及时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修改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完善制度，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坚持以公开为常态、不公开为例外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落在实处。二是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遵循公正、公平、合法、便民的原则，强化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政务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队伍建设，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积极参加上级组织的政务公开培训，加大本级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业务人员培训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力度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，有效提升业务人员的公开意识和业务水平，逐步增加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扩大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政府信息公开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范围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eastAsia="zh-CN"/>
        </w:rPr>
        <w:t>办理依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</w:rPr>
        <w:t>申请信息公开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eastAsia="zh-CN"/>
        </w:rPr>
        <w:t>的水平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</w:rPr>
        <w:t>还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eastAsia="zh-CN"/>
        </w:rPr>
        <w:t>有待于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</w:rPr>
        <w:t>进一步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  <w:lang w:eastAsia="zh-CN"/>
        </w:rPr>
        <w:t>提供</w:t>
      </w:r>
      <w:r>
        <w:rPr>
          <w:rFonts w:hint="eastAsia" w:ascii="楷体" w:hAnsi="楷体" w:eastAsia="楷体" w:cs="楷体"/>
          <w:spacing w:val="8"/>
          <w:kern w:val="0"/>
          <w:sz w:val="32"/>
          <w:szCs w:val="32"/>
        </w:rPr>
        <w:t>，依法受理的意识还需进一步提升。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一是坚持以人民为中心的工作理念，以更高的热情为民服务。二是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积极安排业务人员参加区级部门组织的理论学习，进一步规范依法受理政府信息公开申请渠道及程序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。三是增强时限观念，在准确引用法规条文上下功夫，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提高办理水平，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提高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公众满意度。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六、其他说要报告的事项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/>
        </w:rPr>
        <w:t>无。</w:t>
      </w:r>
    </w:p>
    <w:p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545E3"/>
    <w:rsid w:val="01C45706"/>
    <w:rsid w:val="15060628"/>
    <w:rsid w:val="20B545E3"/>
    <w:rsid w:val="222431BF"/>
    <w:rsid w:val="28902917"/>
    <w:rsid w:val="2CA40655"/>
    <w:rsid w:val="30924C8E"/>
    <w:rsid w:val="43D76A36"/>
    <w:rsid w:val="4D0F263F"/>
    <w:rsid w:val="5630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2020-12-15T08:32:00Z</dcterms:created>
  <dc:creator>办公室</dc:creator>
  <cp:lastModifiedBy>信息公开科</cp:lastModifiedBy>
  <dcterms:modified xsi:type="dcterms:W3CDTF">2021-01-11T10:11:51Z</dcterms:modified>
  <dc:title>北京市大兴区发展和改革委员会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