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北京市大兴区天宫院街道</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2020年政府信息公开工作年度报告</w:t>
      </w:r>
    </w:p>
    <w:p>
      <w:pPr>
        <w:spacing w:line="560" w:lineRule="exact"/>
        <w:jc w:val="center"/>
        <w:rPr>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val="0"/>
        <w:numPr>
          <w:numId w:val="0"/>
        </w:numPr>
        <w:kinsoku/>
        <w:wordWrap/>
        <w:overflowPunct/>
        <w:topLinePunct w:val="0"/>
        <w:autoSpaceDE/>
        <w:autoSpaceDN/>
        <w:bidi w:val="0"/>
        <w:adjustRightInd w:val="0"/>
        <w:snapToGrid w:val="0"/>
        <w:spacing w:line="560" w:lineRule="exact"/>
        <w:ind w:leftChars="0" w:firstLine="672" w:firstLineChars="200"/>
        <w:jc w:val="both"/>
        <w:textAlignment w:val="auto"/>
        <w:rPr>
          <w:rFonts w:ascii="黑体" w:hAnsi="黑体" w:eastAsia="黑体" w:cs="宋体"/>
          <w:spacing w:val="8"/>
          <w:kern w:val="0"/>
          <w:sz w:val="32"/>
          <w:szCs w:val="32"/>
        </w:rPr>
      </w:pPr>
      <w:r>
        <w:rPr>
          <w:rFonts w:hint="eastAsia" w:ascii="黑体" w:hAnsi="黑体" w:eastAsia="黑体" w:cs="宋体"/>
          <w:spacing w:val="8"/>
          <w:kern w:val="0"/>
          <w:sz w:val="32"/>
          <w:szCs w:val="32"/>
          <w:lang w:eastAsia="zh-CN"/>
        </w:rPr>
        <w:t>一、</w:t>
      </w:r>
      <w:r>
        <w:rPr>
          <w:rFonts w:ascii="黑体" w:hAnsi="黑体" w:eastAsia="黑体" w:cs="宋体"/>
          <w:spacing w:val="8"/>
          <w:kern w:val="0"/>
          <w:sz w:val="32"/>
          <w:szCs w:val="32"/>
        </w:rPr>
        <w:t>总体情况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auto"/>
        <w:outlineLvl w:val="9"/>
        <w:rPr>
          <w:rFonts w:hint="eastAsia" w:ascii="仿宋_GB2312" w:hAnsi="宋体" w:eastAsia="仿宋_GB2312" w:cs="宋体"/>
          <w:spacing w:val="8"/>
          <w:kern w:val="0"/>
          <w:sz w:val="32"/>
          <w:szCs w:val="32"/>
          <w:lang w:val="en-US" w:eastAsia="zh-CN"/>
        </w:rPr>
      </w:pPr>
      <w:r>
        <w:rPr>
          <w:rFonts w:hint="eastAsia" w:ascii="仿宋" w:hAnsi="仿宋" w:eastAsia="仿宋" w:cs="仿宋_GB2312"/>
          <w:b/>
          <w:bCs/>
          <w:sz w:val="32"/>
          <w:szCs w:val="32"/>
          <w:lang w:val="en-US" w:eastAsia="zh-CN"/>
        </w:rPr>
        <w:t>1.组织领导。</w:t>
      </w:r>
      <w:r>
        <w:rPr>
          <w:rFonts w:hint="eastAsia" w:ascii="仿宋_GB2312" w:hAnsi="宋体" w:eastAsia="仿宋_GB2312" w:cs="宋体"/>
          <w:spacing w:val="8"/>
          <w:kern w:val="0"/>
          <w:sz w:val="32"/>
          <w:szCs w:val="32"/>
          <w:lang w:val="en-US" w:eastAsia="zh-CN"/>
        </w:rPr>
        <w:t>街道工委副书记为政府信息公开工作主管领导，亲自抓政务公开工作、协调处理政务公开重大问题。综合办公室为承办科室，负责政务公开具体工作，确保本单位政府信息公开工作落到实处。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auto"/>
        <w:outlineLvl w:val="9"/>
        <w:rPr>
          <w:rFonts w:hint="eastAsia" w:ascii="仿宋" w:hAnsi="仿宋" w:eastAsia="仿宋_GB2312" w:cs="仿宋_GB2312"/>
          <w:sz w:val="32"/>
          <w:szCs w:val="32"/>
          <w:lang w:eastAsia="zh-CN"/>
        </w:rPr>
      </w:pPr>
      <w:r>
        <w:rPr>
          <w:rFonts w:hint="eastAsia" w:ascii="仿宋" w:hAnsi="仿宋" w:eastAsia="仿宋" w:cs="仿宋_GB2312"/>
          <w:b/>
          <w:bCs/>
          <w:sz w:val="32"/>
          <w:szCs w:val="32"/>
          <w:lang w:val="en-US" w:eastAsia="zh-CN"/>
        </w:rPr>
        <w:t>2</w:t>
      </w:r>
      <w:r>
        <w:rPr>
          <w:rFonts w:hint="eastAsia" w:ascii="仿宋" w:hAnsi="仿宋" w:eastAsia="仿宋" w:cs="仿宋_GB2312"/>
          <w:b/>
          <w:bCs/>
          <w:sz w:val="32"/>
          <w:szCs w:val="32"/>
        </w:rPr>
        <w:t>.主动公开情况</w:t>
      </w:r>
      <w:r>
        <w:rPr>
          <w:rFonts w:hint="eastAsia" w:ascii="仿宋" w:hAnsi="仿宋" w:eastAsia="仿宋" w:cs="仿宋_GB2312"/>
          <w:b/>
          <w:bCs/>
          <w:sz w:val="32"/>
          <w:szCs w:val="32"/>
          <w:lang w:eastAsia="zh-CN"/>
        </w:rPr>
        <w:t>。</w:t>
      </w:r>
      <w:r>
        <w:rPr>
          <w:rFonts w:hint="eastAsia" w:ascii="仿宋_GB2312" w:hAnsi="仿宋_GB2312" w:eastAsia="仿宋_GB2312" w:cs="仿宋_GB2312"/>
          <w:sz w:val="32"/>
          <w:szCs w:val="32"/>
          <w:lang w:eastAsia="zh-CN"/>
        </w:rPr>
        <w:t>天宫院街道</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全年共</w:t>
      </w:r>
      <w:r>
        <w:rPr>
          <w:rFonts w:hint="eastAsia" w:ascii="仿宋_GB2312" w:hAnsi="仿宋_GB2312" w:eastAsia="仿宋_GB2312" w:cs="仿宋_GB2312"/>
          <w:sz w:val="32"/>
          <w:szCs w:val="32"/>
        </w:rPr>
        <w:t>主动公开政府信息</w:t>
      </w:r>
      <w:r>
        <w:rPr>
          <w:rFonts w:hint="eastAsia" w:ascii="仿宋_GB2312" w:hAnsi="仿宋_GB2312" w:eastAsia="仿宋_GB2312" w:cs="仿宋_GB2312"/>
          <w:sz w:val="32"/>
          <w:szCs w:val="32"/>
          <w:lang w:val="en-US" w:eastAsia="zh-CN"/>
        </w:rPr>
        <w:t>1021</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政务微信公开政府信息数</w:t>
      </w:r>
      <w:r>
        <w:rPr>
          <w:rFonts w:hint="eastAsia" w:ascii="仿宋_GB2312" w:hAnsi="仿宋_GB2312" w:eastAsia="仿宋_GB2312" w:cs="仿宋_GB2312"/>
          <w:sz w:val="32"/>
          <w:szCs w:val="32"/>
          <w:lang w:val="en-US" w:eastAsia="zh-CN"/>
        </w:rPr>
        <w:t>786</w:t>
      </w:r>
      <w:r>
        <w:rPr>
          <w:rFonts w:hint="eastAsia" w:ascii="仿宋_GB2312" w:hAnsi="仿宋_GB2312" w:eastAsia="仿宋_GB2312" w:cs="仿宋_GB2312"/>
          <w:sz w:val="32"/>
          <w:szCs w:val="32"/>
        </w:rPr>
        <w:t>条；政务微博公开政府信息数</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政府信息公开专栏主动公开</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重点领域公开政府信息数</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条。其中，主动公开财政预算决算、信息数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件；其他</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条分别为社保、生育、就业、教育</w:t>
      </w:r>
      <w:r>
        <w:rPr>
          <w:rFonts w:hint="eastAsia" w:ascii="仿宋_GB2312" w:hAnsi="仿宋_GB2312" w:eastAsia="仿宋_GB2312" w:cs="仿宋_GB2312"/>
          <w:sz w:val="32"/>
          <w:szCs w:val="32"/>
          <w:lang w:eastAsia="zh-CN"/>
        </w:rPr>
        <w:t>、城市管理综合行政</w:t>
      </w:r>
      <w:r>
        <w:rPr>
          <w:rFonts w:hint="eastAsia" w:ascii="仿宋_GB2312" w:hAnsi="仿宋_GB2312" w:eastAsia="仿宋_GB2312" w:cs="仿宋_GB2312"/>
          <w:sz w:val="32"/>
          <w:szCs w:val="32"/>
        </w:rPr>
        <w:t>等相关事项公示；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_GB2312"/>
          <w:b/>
          <w:bCs/>
          <w:sz w:val="32"/>
          <w:szCs w:val="32"/>
          <w:lang w:val="en-US" w:eastAsia="zh-CN"/>
        </w:rPr>
        <w:t>3.</w:t>
      </w:r>
      <w:r>
        <w:rPr>
          <w:rFonts w:hint="eastAsia" w:ascii="仿宋" w:hAnsi="仿宋" w:eastAsia="仿宋" w:cs="仿宋_GB2312"/>
          <w:b/>
          <w:bCs/>
          <w:sz w:val="32"/>
          <w:szCs w:val="32"/>
        </w:rPr>
        <w:t>依申请公开办理情况</w:t>
      </w:r>
      <w:r>
        <w:rPr>
          <w:rFonts w:hint="eastAsia" w:ascii="仿宋" w:hAnsi="仿宋" w:eastAsia="仿宋" w:cs="仿宋_GB2312"/>
          <w:b/>
          <w:bCs/>
          <w:sz w:val="32"/>
          <w:szCs w:val="32"/>
          <w:lang w:eastAsia="zh-CN"/>
        </w:rPr>
        <w:t>。</w:t>
      </w:r>
      <w:r>
        <w:rPr>
          <w:rFonts w:hint="eastAsia" w:ascii="仿宋_GB2312" w:hAnsi="仿宋_GB2312" w:eastAsia="仿宋_GB2312" w:cs="仿宋_GB2312"/>
          <w:sz w:val="32"/>
          <w:szCs w:val="32"/>
          <w:lang w:eastAsia="zh-CN"/>
        </w:rPr>
        <w:t>天宫院街道20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年全年共接到政府信息公开申请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件。申请方式为申请人邮寄挂号信的形式申请，申请内容为</w:t>
      </w:r>
      <w:r>
        <w:rPr>
          <w:rFonts w:hint="eastAsia" w:ascii="仿宋_GB2312" w:hAnsi="仿宋_GB2312" w:eastAsia="仿宋_GB2312" w:cs="仿宋_GB2312"/>
          <w:sz w:val="32"/>
          <w:szCs w:val="32"/>
          <w:lang w:val="en-US" w:eastAsia="zh-CN"/>
        </w:rPr>
        <w:t>针对新冠肺炎疫情做出的具体防疫措施</w:t>
      </w:r>
      <w:r>
        <w:rPr>
          <w:rFonts w:hint="eastAsia" w:ascii="仿宋_GB2312" w:hAnsi="仿宋_GB2312" w:eastAsia="仿宋_GB2312" w:cs="仿宋_GB2312"/>
          <w:sz w:val="32"/>
          <w:szCs w:val="32"/>
          <w:lang w:eastAsia="zh-CN"/>
        </w:rPr>
        <w:t>。申请已</w:t>
      </w:r>
      <w:r>
        <w:rPr>
          <w:rFonts w:hint="eastAsia" w:ascii="仿宋_GB2312" w:hAnsi="仿宋_GB2312" w:eastAsia="仿宋_GB2312" w:cs="仿宋_GB2312"/>
          <w:sz w:val="32"/>
          <w:szCs w:val="32"/>
          <w:lang w:val="en-US" w:eastAsia="zh-CN"/>
        </w:rPr>
        <w:t>按照《条例》时限规定按期答复。全年未出现因政府信息公开申请行政复议、提起行政诉讼情况。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_GB2312"/>
          <w:b/>
          <w:bCs/>
          <w:sz w:val="32"/>
          <w:szCs w:val="32"/>
          <w:lang w:val="en-US" w:eastAsia="zh-CN"/>
        </w:rPr>
        <w:t>4.政府信息资源的规范化、标准化管理情况。</w:t>
      </w:r>
      <w:r>
        <w:rPr>
          <w:rFonts w:hint="eastAsia" w:ascii="仿宋_GB2312" w:hAnsi="仿宋_GB2312" w:eastAsia="仿宋_GB2312" w:cs="仿宋_GB2312"/>
          <w:sz w:val="32"/>
          <w:szCs w:val="32"/>
          <w:lang w:eastAsia="zh-CN"/>
        </w:rPr>
        <w:t>制定天宫院街道信息报送工作制度，明确各科室（社区）负责人为信息报送工作的第一责任人，并明确1名信息收集报送人员，报送信息前需经科室（社区）主要负责人和街道主管领导审核签字，审核后报送纸质版和电子版。确保报送的信息内容应规范、准确、有效、无错别字，并定期对信息报送情况进行汇总通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_GB2312"/>
          <w:b/>
          <w:bCs/>
          <w:sz w:val="32"/>
          <w:szCs w:val="32"/>
          <w:lang w:val="en-US" w:eastAsia="zh-CN"/>
        </w:rPr>
        <w:t>5.政府信息公开平台建设情况。</w:t>
      </w:r>
      <w:r>
        <w:rPr>
          <w:rFonts w:hint="eastAsia" w:ascii="仿宋_GB2312" w:hAnsi="仿宋_GB2312" w:eastAsia="仿宋_GB2312" w:cs="仿宋_GB2312"/>
          <w:sz w:val="32"/>
          <w:szCs w:val="32"/>
          <w:lang w:eastAsia="zh-CN"/>
        </w:rPr>
        <w:t>责成专人负责政府信息公开专栏、政务微信公众号、政务微博的信息发布、更新及其他相关工作。及时在政府信息公开查阅点更新国务院公报、北京市人民公报。定期检查维护</w:t>
      </w:r>
      <w:r>
        <w:rPr>
          <w:rFonts w:hint="eastAsia" w:ascii="仿宋_GB2312" w:hAnsi="仿宋_GB2312" w:eastAsia="仿宋_GB2312" w:cs="仿宋_GB2312"/>
          <w:sz w:val="32"/>
          <w:szCs w:val="32"/>
          <w:lang w:val="en-US" w:eastAsia="zh-CN"/>
        </w:rPr>
        <w:t>政府信息公开专用查询电脑，方便居民查询政府信息。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_GB2312"/>
          <w:b/>
          <w:bCs/>
          <w:sz w:val="32"/>
          <w:szCs w:val="32"/>
          <w:lang w:val="en-US" w:eastAsia="zh-CN"/>
        </w:rPr>
        <w:t>6.政府信息公开监督保障及教育培训情况。</w:t>
      </w:r>
      <w:r>
        <w:rPr>
          <w:rFonts w:hint="eastAsia" w:ascii="仿宋_GB2312" w:hAnsi="仿宋_GB2312" w:eastAsia="仿宋_GB2312" w:cs="仿宋_GB2312"/>
          <w:sz w:val="32"/>
          <w:szCs w:val="32"/>
          <w:lang w:eastAsia="zh-CN"/>
        </w:rPr>
        <w:t>通过政府信息公开指南发布大兴区政府信息公开主管部门举报受理电话，畅通诉求、监督渠道，通过政务微信公众号留言板等</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lang w:eastAsia="zh-CN"/>
        </w:rPr>
        <w:t>广泛听取群众意见，自觉接受群众监督。</w:t>
      </w:r>
      <w:r>
        <w:rPr>
          <w:rFonts w:hint="eastAsia" w:ascii="仿宋_GB2312" w:hAnsi="仿宋_GB2312" w:eastAsia="仿宋_GB2312" w:cs="仿宋_GB2312"/>
          <w:sz w:val="32"/>
          <w:szCs w:val="32"/>
          <w:lang w:val="en-US" w:eastAsia="zh-CN"/>
        </w:rPr>
        <w:t>2020年全年，开展1次政务开放日活动。通过视频会议、现场培训等形式，参加区政务服务管理局政府信息公开科组织的会议、培训共8次。</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8613" w:type="dxa"/>
        <w:jc w:val="center"/>
        <w:tblInd w:w="0" w:type="dxa"/>
        <w:tblLayout w:type="fixed"/>
        <w:tblCellMar>
          <w:top w:w="0" w:type="dxa"/>
          <w:left w:w="108" w:type="dxa"/>
          <w:bottom w:w="0" w:type="dxa"/>
          <w:right w:w="108" w:type="dxa"/>
        </w:tblCellMar>
      </w:tblPr>
      <w:tblGrid>
        <w:gridCol w:w="1572"/>
        <w:gridCol w:w="1230"/>
        <w:gridCol w:w="2175"/>
        <w:gridCol w:w="1887"/>
        <w:gridCol w:w="1749"/>
      </w:tblGrid>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pPr>
            <w:r>
              <w:rPr>
                <w:rFonts w:hint="eastAsia"/>
              </w:rPr>
              <w:t>第二十条第（一）项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本年新制作数量</w:t>
            </w:r>
          </w:p>
        </w:tc>
        <w:tc>
          <w:tcPr>
            <w:tcW w:w="1887"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本年新公开数量</w:t>
            </w:r>
          </w:p>
        </w:tc>
        <w:tc>
          <w:tcPr>
            <w:tcW w:w="1749"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对外公开总数量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规章</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规范性文件</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rPr>
                <w:rFonts w:hint="eastAsia"/>
              </w:rPr>
            </w:pPr>
            <w:r>
              <w:rPr>
                <w:rFonts w:hint="eastAsia"/>
              </w:rPr>
              <w:t>第二十条第（五）项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本年增/减</w:t>
            </w:r>
          </w:p>
        </w:tc>
        <w:tc>
          <w:tcPr>
            <w:tcW w:w="1749"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处理决定数量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行政许可</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1572" w:type="dxa"/>
            <w:vMerge w:val="restart"/>
            <w:tcBorders>
              <w:top w:val="nil"/>
              <w:left w:val="single" w:color="auto" w:sz="4" w:space="0"/>
              <w:right w:val="single" w:color="auto" w:sz="4" w:space="0"/>
            </w:tcBorders>
            <w:shd w:val="clear" w:color="auto" w:fill="9CC2E5"/>
            <w:vAlign w:val="center"/>
          </w:tcPr>
          <w:p>
            <w:pPr>
              <w:jc w:val="center"/>
              <w:rPr>
                <w:rFonts w:hint="eastAsia"/>
              </w:rPr>
            </w:pPr>
            <w:r>
              <w:rPr>
                <w:rFonts w:hint="eastAsia"/>
              </w:rPr>
              <w:t>其他对外管理服务事项</w:t>
            </w:r>
          </w:p>
        </w:tc>
        <w:tc>
          <w:tcPr>
            <w:tcW w:w="1230" w:type="dxa"/>
            <w:tcBorders>
              <w:top w:val="nil"/>
              <w:left w:val="single" w:color="auto" w:sz="4" w:space="0"/>
              <w:bottom w:val="single" w:color="000000" w:sz="4" w:space="0"/>
              <w:right w:val="single" w:color="auto" w:sz="4" w:space="0"/>
            </w:tcBorders>
            <w:shd w:val="clear" w:color="auto" w:fill="9CC2E5"/>
            <w:vAlign w:val="center"/>
          </w:tcPr>
          <w:p>
            <w:pPr>
              <w:jc w:val="center"/>
              <w:rPr>
                <w:rFonts w:hint="eastAsia"/>
              </w:rPr>
            </w:pPr>
            <w:r>
              <w:rPr>
                <w:rFonts w:hint="eastAsia"/>
              </w:rPr>
              <w:t>行政</w:t>
            </w:r>
            <w:r>
              <w:t>检查</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szCs w:val="22"/>
                <w:lang w:val="en-US" w:eastAsia="zh-CN"/>
              </w:rPr>
              <w:t>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1572" w:type="dxa"/>
            <w:vMerge w:val="continue"/>
            <w:tcBorders>
              <w:left w:val="single" w:color="auto" w:sz="4" w:space="0"/>
              <w:bottom w:val="single" w:color="000000" w:sz="4" w:space="0"/>
              <w:right w:val="single" w:color="auto" w:sz="4" w:space="0"/>
            </w:tcBorders>
            <w:shd w:val="clear" w:color="auto" w:fill="9CC2E5"/>
            <w:vAlign w:val="center"/>
          </w:tcPr>
          <w:p>
            <w:pPr>
              <w:jc w:val="center"/>
              <w:rPr>
                <w:rFonts w:hint="eastAsia"/>
              </w:rPr>
            </w:pPr>
          </w:p>
        </w:tc>
        <w:tc>
          <w:tcPr>
            <w:tcW w:w="1230" w:type="dxa"/>
            <w:tcBorders>
              <w:top w:val="nil"/>
              <w:left w:val="single" w:color="auto" w:sz="4" w:space="0"/>
              <w:bottom w:val="single" w:color="000000" w:sz="4" w:space="0"/>
              <w:right w:val="single" w:color="auto" w:sz="4" w:space="0"/>
            </w:tcBorders>
            <w:shd w:val="clear" w:color="auto" w:fill="9CC2E5"/>
            <w:vAlign w:val="center"/>
          </w:tcPr>
          <w:p>
            <w:pPr>
              <w:jc w:val="center"/>
              <w:rPr>
                <w:rFonts w:hint="eastAsia"/>
              </w:rPr>
            </w:pPr>
            <w:r>
              <w:rPr>
                <w:rFonts w:hint="eastAsia"/>
              </w:rPr>
              <w:t>行政</w:t>
            </w:r>
            <w:r>
              <w:t>确认</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rPr>
                <w:rFonts w:hint="eastAsia"/>
              </w:rPr>
            </w:pPr>
            <w:r>
              <w:rPr>
                <w:rFonts w:hint="eastAsia"/>
              </w:rPr>
              <w:t>第二十条第（六）项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上一年项目数量</w:t>
            </w:r>
          </w:p>
        </w:tc>
        <w:tc>
          <w:tcPr>
            <w:tcW w:w="1887"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本年增/减</w:t>
            </w:r>
          </w:p>
        </w:tc>
        <w:tc>
          <w:tcPr>
            <w:tcW w:w="1749"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处理决定数量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行政处罚</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szCs w:val="22"/>
                <w:lang w:val="en-US" w:eastAsia="zh-CN"/>
              </w:rPr>
              <w:t>+410</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72</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行政强制</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1887"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szCs w:val="22"/>
                <w:lang w:val="en-US" w:eastAsia="zh-CN"/>
              </w:rPr>
              <w:t>+21</w:t>
            </w:r>
          </w:p>
        </w:tc>
        <w:tc>
          <w:tcPr>
            <w:tcW w:w="1749"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000000" w:sz="8" w:space="0"/>
              <w:right w:val="single" w:color="auto" w:sz="4" w:space="0"/>
            </w:tcBorders>
            <w:shd w:val="clear" w:color="auto" w:fill="5B9BD5"/>
            <w:vAlign w:val="center"/>
          </w:tcPr>
          <w:p>
            <w:pPr>
              <w:jc w:val="center"/>
              <w:rPr>
                <w:rFonts w:hint="eastAsia"/>
              </w:rPr>
            </w:pPr>
            <w:r>
              <w:rPr>
                <w:rFonts w:hint="eastAsia"/>
              </w:rPr>
              <w:t>第二十条第（八）项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000000" w:sz="8"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single" w:color="000000" w:sz="8" w:space="0"/>
              <w:left w:val="nil"/>
              <w:bottom w:val="single" w:color="auto" w:sz="4" w:space="0"/>
              <w:right w:val="single" w:color="auto" w:sz="4" w:space="0"/>
            </w:tcBorders>
            <w:shd w:val="clear" w:color="auto" w:fill="BDD6EE"/>
            <w:vAlign w:val="center"/>
          </w:tcPr>
          <w:p>
            <w:pPr>
              <w:jc w:val="center"/>
              <w:rPr>
                <w:rFonts w:hint="eastAsia"/>
              </w:rPr>
            </w:pPr>
            <w:r>
              <w:rPr>
                <w:rFonts w:hint="eastAsia"/>
              </w:rPr>
              <w:t>上一年项目数量</w:t>
            </w:r>
          </w:p>
        </w:tc>
        <w:tc>
          <w:tcPr>
            <w:tcW w:w="3636" w:type="dxa"/>
            <w:gridSpan w:val="2"/>
            <w:tcBorders>
              <w:top w:val="single" w:color="000000" w:sz="8" w:space="0"/>
              <w:left w:val="nil"/>
              <w:bottom w:val="single" w:color="auto" w:sz="4" w:space="0"/>
              <w:right w:val="single" w:color="000000" w:sz="4" w:space="0"/>
            </w:tcBorders>
            <w:shd w:val="clear" w:color="auto" w:fill="BDD6EE"/>
            <w:vAlign w:val="center"/>
          </w:tcPr>
          <w:p>
            <w:pPr>
              <w:jc w:val="center"/>
              <w:rPr>
                <w:rFonts w:hint="eastAsia"/>
              </w:rPr>
            </w:pPr>
            <w:r>
              <w:rPr>
                <w:rFonts w:hint="eastAsia"/>
              </w:rPr>
              <w:t>本年增/减</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行政事业性收费</w:t>
            </w:r>
          </w:p>
        </w:tc>
        <w:tc>
          <w:tcPr>
            <w:tcW w:w="2175" w:type="dxa"/>
            <w:tcBorders>
              <w:top w:val="single" w:color="auto" w:sz="4" w:space="0"/>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0</w:t>
            </w:r>
          </w:p>
        </w:tc>
        <w:tc>
          <w:tcPr>
            <w:tcW w:w="3636" w:type="dxa"/>
            <w:gridSpan w:val="2"/>
            <w:tcBorders>
              <w:top w:val="single" w:color="auto" w:sz="4" w:space="0"/>
              <w:left w:val="nil"/>
              <w:bottom w:val="single" w:color="auto" w:sz="4" w:space="0"/>
              <w:right w:val="single" w:color="000000" w:sz="4" w:space="0"/>
            </w:tcBorders>
            <w:vAlign w:val="center"/>
          </w:tcPr>
          <w:p>
            <w:pPr>
              <w:jc w:val="center"/>
              <w:rPr>
                <w:rFonts w:hint="eastAsia" w:eastAsia="宋体"/>
                <w:lang w:val="en-US" w:eastAsia="zh-CN"/>
              </w:rPr>
            </w:pPr>
            <w:r>
              <w:rPr>
                <w:rFonts w:hint="eastAsia"/>
                <w:lang w:val="en-US" w:eastAsia="zh-CN"/>
              </w:rPr>
              <w:t>0</w:t>
            </w:r>
          </w:p>
        </w:tc>
      </w:tr>
      <w:tr>
        <w:tblPrEx>
          <w:tblLayout w:type="fixed"/>
          <w:tblCellMar>
            <w:top w:w="0" w:type="dxa"/>
            <w:left w:w="108" w:type="dxa"/>
            <w:bottom w:w="0" w:type="dxa"/>
            <w:right w:w="108" w:type="dxa"/>
          </w:tblCellMar>
        </w:tblPrEx>
        <w:trPr>
          <w:trHeight w:val="454" w:hRule="atLeast"/>
          <w:jc w:val="center"/>
        </w:trPr>
        <w:tc>
          <w:tcPr>
            <w:tcW w:w="8613" w:type="dxa"/>
            <w:gridSpan w:val="5"/>
            <w:tcBorders>
              <w:top w:val="single" w:color="auto" w:sz="4" w:space="0"/>
              <w:left w:val="single" w:color="auto" w:sz="4" w:space="0"/>
              <w:bottom w:val="single" w:color="auto" w:sz="4" w:space="0"/>
              <w:right w:val="single" w:color="auto" w:sz="4" w:space="0"/>
            </w:tcBorders>
            <w:shd w:val="clear" w:color="auto" w:fill="5B9BD5"/>
            <w:vAlign w:val="center"/>
          </w:tcPr>
          <w:p>
            <w:pPr>
              <w:jc w:val="center"/>
              <w:rPr>
                <w:rFonts w:hint="eastAsia"/>
              </w:rPr>
            </w:pPr>
            <w:r>
              <w:rPr>
                <w:rFonts w:hint="eastAsia"/>
              </w:rPr>
              <w:t>第二十条第（九）项</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信息内容</w:t>
            </w:r>
          </w:p>
        </w:tc>
        <w:tc>
          <w:tcPr>
            <w:tcW w:w="2175" w:type="dxa"/>
            <w:tcBorders>
              <w:top w:val="nil"/>
              <w:left w:val="nil"/>
              <w:bottom w:val="single" w:color="auto" w:sz="4" w:space="0"/>
              <w:right w:val="single" w:color="auto" w:sz="4" w:space="0"/>
            </w:tcBorders>
            <w:shd w:val="clear" w:color="auto" w:fill="BDD6EE"/>
            <w:vAlign w:val="center"/>
          </w:tcPr>
          <w:p>
            <w:pPr>
              <w:jc w:val="center"/>
              <w:rPr>
                <w:rFonts w:hint="eastAsia"/>
              </w:rPr>
            </w:pPr>
            <w:r>
              <w:rPr>
                <w:rFonts w:hint="eastAsia"/>
              </w:rPr>
              <w:t>采购项目数量</w:t>
            </w:r>
          </w:p>
        </w:tc>
        <w:tc>
          <w:tcPr>
            <w:tcW w:w="3636" w:type="dxa"/>
            <w:gridSpan w:val="2"/>
            <w:tcBorders>
              <w:top w:val="single" w:color="auto" w:sz="4" w:space="0"/>
              <w:left w:val="nil"/>
              <w:bottom w:val="single" w:color="auto" w:sz="4" w:space="0"/>
              <w:right w:val="single" w:color="000000" w:sz="4" w:space="0"/>
            </w:tcBorders>
            <w:shd w:val="clear" w:color="auto" w:fill="BDD6EE"/>
            <w:vAlign w:val="center"/>
          </w:tcPr>
          <w:p>
            <w:pPr>
              <w:jc w:val="center"/>
              <w:rPr>
                <w:rFonts w:hint="eastAsia"/>
              </w:rPr>
            </w:pPr>
            <w:r>
              <w:rPr>
                <w:rFonts w:hint="eastAsia"/>
              </w:rPr>
              <w:t>采购总金额（万元，保留四位小数）</w:t>
            </w:r>
          </w:p>
        </w:tc>
      </w:tr>
      <w:tr>
        <w:tblPrEx>
          <w:tblLayout w:type="fixed"/>
          <w:tblCellMar>
            <w:top w:w="0" w:type="dxa"/>
            <w:left w:w="108" w:type="dxa"/>
            <w:bottom w:w="0" w:type="dxa"/>
            <w:right w:w="108" w:type="dxa"/>
          </w:tblCellMar>
        </w:tblPrEx>
        <w:trPr>
          <w:trHeight w:val="454" w:hRule="atLeast"/>
          <w:jc w:val="center"/>
        </w:trPr>
        <w:tc>
          <w:tcPr>
            <w:tcW w:w="2802" w:type="dxa"/>
            <w:gridSpan w:val="2"/>
            <w:tcBorders>
              <w:top w:val="single" w:color="auto" w:sz="4" w:space="0"/>
              <w:left w:val="single" w:color="auto" w:sz="4" w:space="0"/>
              <w:bottom w:val="single" w:color="auto" w:sz="4" w:space="0"/>
              <w:right w:val="single" w:color="000000" w:sz="4" w:space="0"/>
            </w:tcBorders>
            <w:shd w:val="clear" w:color="auto" w:fill="9CC2E5"/>
            <w:vAlign w:val="center"/>
          </w:tcPr>
          <w:p>
            <w:pPr>
              <w:jc w:val="center"/>
              <w:rPr>
                <w:rFonts w:hint="eastAsia"/>
              </w:rPr>
            </w:pPr>
            <w:r>
              <w:rPr>
                <w:rFonts w:hint="eastAsia"/>
              </w:rPr>
              <w:t>政府集中采购</w:t>
            </w:r>
          </w:p>
        </w:tc>
        <w:tc>
          <w:tcPr>
            <w:tcW w:w="2175" w:type="dxa"/>
            <w:tcBorders>
              <w:top w:val="nil"/>
              <w:left w:val="nil"/>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51</w:t>
            </w:r>
          </w:p>
        </w:tc>
        <w:tc>
          <w:tcPr>
            <w:tcW w:w="3636" w:type="dxa"/>
            <w:gridSpan w:val="2"/>
            <w:tcBorders>
              <w:top w:val="single" w:color="auto" w:sz="4" w:space="0"/>
              <w:left w:val="nil"/>
              <w:bottom w:val="single" w:color="auto" w:sz="4" w:space="0"/>
              <w:right w:val="single" w:color="000000" w:sz="4" w:space="0"/>
            </w:tcBorders>
            <w:vAlign w:val="center"/>
          </w:tcPr>
          <w:p>
            <w:pPr>
              <w:jc w:val="center"/>
              <w:rPr>
                <w:rFonts w:hint="eastAsia" w:eastAsia="宋体"/>
                <w:lang w:val="en-US" w:eastAsia="zh-CN"/>
              </w:rPr>
            </w:pPr>
            <w:r>
              <w:rPr>
                <w:rFonts w:hint="eastAsia"/>
                <w:lang w:val="en-US" w:eastAsia="zh-CN"/>
              </w:rPr>
              <w:t>162.9177</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5"/>
        <w:tblW w:w="90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9"/>
        <w:gridCol w:w="856"/>
        <w:gridCol w:w="2957"/>
        <w:gridCol w:w="709"/>
        <w:gridCol w:w="709"/>
        <w:gridCol w:w="709"/>
        <w:gridCol w:w="708"/>
        <w:gridCol w:w="709"/>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2" w:hRule="atLeast"/>
          <w:jc w:val="center"/>
        </w:trPr>
        <w:tc>
          <w:tcPr>
            <w:tcW w:w="4212" w:type="dxa"/>
            <w:gridSpan w:val="3"/>
            <w:vMerge w:val="restart"/>
            <w:shd w:val="clear" w:color="auto" w:fill="5B9BD5"/>
            <w:tcMar>
              <w:top w:w="0" w:type="dxa"/>
              <w:left w:w="108" w:type="dxa"/>
              <w:bottom w:w="0" w:type="dxa"/>
              <w:right w:w="108" w:type="dxa"/>
            </w:tcMar>
            <w:vAlign w:val="center"/>
          </w:tcPr>
          <w:p>
            <w:r>
              <w:rPr>
                <w:rFonts w:hint="eastAsia"/>
              </w:rPr>
              <w:t>（本列数据的勾稽关系为：第一项加第二项之和，等于第三项加第四项之和）</w:t>
            </w:r>
          </w:p>
        </w:tc>
        <w:tc>
          <w:tcPr>
            <w:tcW w:w="4820" w:type="dxa"/>
            <w:gridSpan w:val="7"/>
            <w:shd w:val="clear" w:color="auto" w:fill="5B9BD5"/>
            <w:tcMar>
              <w:top w:w="0" w:type="dxa"/>
              <w:left w:w="108" w:type="dxa"/>
              <w:bottom w:w="0" w:type="dxa"/>
              <w:right w:w="108" w:type="dxa"/>
            </w:tcMar>
            <w:vAlign w:val="center"/>
          </w:tcPr>
          <w:p>
            <w:pPr>
              <w:jc w:val="center"/>
            </w:pPr>
            <w:r>
              <w:rPr>
                <w:rFonts w:hint="eastAsia"/>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4" w:hRule="atLeast"/>
          <w:jc w:val="center"/>
        </w:trPr>
        <w:tc>
          <w:tcPr>
            <w:tcW w:w="4212" w:type="dxa"/>
            <w:gridSpan w:val="3"/>
            <w:vMerge w:val="continue"/>
            <w:shd w:val="clear" w:color="auto" w:fill="5B9BD5"/>
            <w:tcMar>
              <w:top w:w="0" w:type="dxa"/>
              <w:left w:w="108" w:type="dxa"/>
              <w:bottom w:w="0" w:type="dxa"/>
              <w:right w:w="108" w:type="dxa"/>
            </w:tcMar>
            <w:vAlign w:val="center"/>
          </w:tcPr>
          <w:p>
            <w:pPr>
              <w:rPr>
                <w:rFonts w:hint="eastAsia"/>
              </w:rPr>
            </w:pPr>
          </w:p>
        </w:tc>
        <w:tc>
          <w:tcPr>
            <w:tcW w:w="709" w:type="dxa"/>
            <w:vMerge w:val="restart"/>
            <w:shd w:val="clear" w:color="auto" w:fill="5B9BD5"/>
            <w:tcMar>
              <w:top w:w="0" w:type="dxa"/>
              <w:left w:w="108" w:type="dxa"/>
              <w:bottom w:w="0" w:type="dxa"/>
              <w:right w:w="108" w:type="dxa"/>
            </w:tcMar>
            <w:vAlign w:val="center"/>
          </w:tcPr>
          <w:p>
            <w:pPr>
              <w:jc w:val="center"/>
            </w:pPr>
            <w:r>
              <w:rPr>
                <w:rFonts w:hint="eastAsia"/>
              </w:rPr>
              <w:t>自然人</w:t>
            </w:r>
          </w:p>
        </w:tc>
        <w:tc>
          <w:tcPr>
            <w:tcW w:w="3402" w:type="dxa"/>
            <w:gridSpan w:val="5"/>
            <w:shd w:val="clear" w:color="auto" w:fill="5B9BD5"/>
            <w:tcMar>
              <w:top w:w="0" w:type="dxa"/>
              <w:left w:w="108" w:type="dxa"/>
              <w:bottom w:w="0" w:type="dxa"/>
              <w:right w:w="108" w:type="dxa"/>
            </w:tcMar>
            <w:vAlign w:val="center"/>
          </w:tcPr>
          <w:p>
            <w:pPr>
              <w:jc w:val="center"/>
            </w:pPr>
            <w:r>
              <w:rPr>
                <w:rFonts w:hint="eastAsia"/>
              </w:rPr>
              <w:t>法人或其他组织</w:t>
            </w:r>
          </w:p>
        </w:tc>
        <w:tc>
          <w:tcPr>
            <w:tcW w:w="709" w:type="dxa"/>
            <w:vMerge w:val="restart"/>
            <w:shd w:val="clear" w:color="auto" w:fill="5B9BD5"/>
            <w:tcMar>
              <w:top w:w="0" w:type="dxa"/>
              <w:left w:w="108" w:type="dxa"/>
              <w:bottom w:w="0" w:type="dxa"/>
              <w:right w:w="108" w:type="dxa"/>
            </w:tcMar>
            <w:vAlign w:val="center"/>
          </w:tcPr>
          <w:p>
            <w:pPr>
              <w:jc w:val="center"/>
            </w:pPr>
            <w:r>
              <w:rPr>
                <w:rFonts w:hint="eastAsi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vMerge w:val="continue"/>
            <w:shd w:val="clear" w:color="auto" w:fill="auto"/>
            <w:tcMar>
              <w:top w:w="0" w:type="dxa"/>
              <w:left w:w="108" w:type="dxa"/>
              <w:bottom w:w="0" w:type="dxa"/>
              <w:right w:w="108" w:type="dxa"/>
            </w:tcMar>
            <w:vAlign w:val="center"/>
          </w:tcPr>
          <w:p>
            <w:pPr>
              <w:rPr>
                <w:rFonts w:hint="eastAsia"/>
              </w:rPr>
            </w:pPr>
          </w:p>
        </w:tc>
        <w:tc>
          <w:tcPr>
            <w:tcW w:w="709" w:type="dxa"/>
            <w:vMerge w:val="continue"/>
            <w:shd w:val="clear" w:color="auto" w:fill="auto"/>
            <w:tcMar>
              <w:top w:w="0" w:type="dxa"/>
              <w:left w:w="108" w:type="dxa"/>
              <w:bottom w:w="0" w:type="dxa"/>
              <w:right w:w="108" w:type="dxa"/>
            </w:tcMar>
            <w:vAlign w:val="center"/>
          </w:tcPr>
          <w:p>
            <w:pPr>
              <w:jc w:val="center"/>
              <w:rPr>
                <w:rFonts w:hint="eastAsia"/>
              </w:rPr>
            </w:pPr>
          </w:p>
        </w:tc>
        <w:tc>
          <w:tcPr>
            <w:tcW w:w="709" w:type="dxa"/>
            <w:shd w:val="clear" w:color="auto" w:fill="5B9BD5"/>
            <w:tcMar>
              <w:top w:w="0" w:type="dxa"/>
              <w:left w:w="108" w:type="dxa"/>
              <w:bottom w:w="0" w:type="dxa"/>
              <w:right w:w="108" w:type="dxa"/>
            </w:tcMar>
            <w:vAlign w:val="center"/>
          </w:tcPr>
          <w:p>
            <w:pPr>
              <w:jc w:val="center"/>
            </w:pPr>
            <w:r>
              <w:rPr>
                <w:rFonts w:hint="eastAsia"/>
              </w:rPr>
              <w:t>商业企业</w:t>
            </w:r>
          </w:p>
        </w:tc>
        <w:tc>
          <w:tcPr>
            <w:tcW w:w="709" w:type="dxa"/>
            <w:shd w:val="clear" w:color="auto" w:fill="5B9BD5"/>
            <w:tcMar>
              <w:top w:w="0" w:type="dxa"/>
              <w:left w:w="108" w:type="dxa"/>
              <w:bottom w:w="0" w:type="dxa"/>
              <w:right w:w="108" w:type="dxa"/>
            </w:tcMar>
            <w:vAlign w:val="center"/>
          </w:tcPr>
          <w:p>
            <w:pPr>
              <w:jc w:val="center"/>
            </w:pPr>
            <w:r>
              <w:rPr>
                <w:rFonts w:hint="eastAsia"/>
              </w:rPr>
              <w:t>科研机构</w:t>
            </w:r>
          </w:p>
        </w:tc>
        <w:tc>
          <w:tcPr>
            <w:tcW w:w="708" w:type="dxa"/>
            <w:shd w:val="clear" w:color="auto" w:fill="5B9BD5"/>
            <w:tcMar>
              <w:top w:w="0" w:type="dxa"/>
              <w:left w:w="108" w:type="dxa"/>
              <w:bottom w:w="0" w:type="dxa"/>
              <w:right w:w="108" w:type="dxa"/>
            </w:tcMar>
            <w:vAlign w:val="center"/>
          </w:tcPr>
          <w:p>
            <w:pPr>
              <w:jc w:val="center"/>
            </w:pPr>
            <w:r>
              <w:rPr>
                <w:rFonts w:hint="eastAsia"/>
              </w:rPr>
              <w:t>社会公益组织</w:t>
            </w:r>
          </w:p>
        </w:tc>
        <w:tc>
          <w:tcPr>
            <w:tcW w:w="709" w:type="dxa"/>
            <w:shd w:val="clear" w:color="auto" w:fill="5B9BD5"/>
            <w:tcMar>
              <w:top w:w="0" w:type="dxa"/>
              <w:left w:w="108" w:type="dxa"/>
              <w:bottom w:w="0" w:type="dxa"/>
              <w:right w:w="108" w:type="dxa"/>
            </w:tcMar>
            <w:vAlign w:val="center"/>
          </w:tcPr>
          <w:p>
            <w:pPr>
              <w:jc w:val="center"/>
            </w:pPr>
            <w:r>
              <w:rPr>
                <w:rFonts w:hint="eastAsia"/>
              </w:rPr>
              <w:t>法律服务机构</w:t>
            </w:r>
          </w:p>
        </w:tc>
        <w:tc>
          <w:tcPr>
            <w:tcW w:w="567" w:type="dxa"/>
            <w:shd w:val="clear" w:color="auto" w:fill="5B9BD5"/>
            <w:tcMar>
              <w:top w:w="0" w:type="dxa"/>
              <w:left w:w="108" w:type="dxa"/>
              <w:bottom w:w="0" w:type="dxa"/>
              <w:right w:w="108" w:type="dxa"/>
            </w:tcMar>
            <w:vAlign w:val="center"/>
          </w:tcPr>
          <w:p>
            <w:pPr>
              <w:jc w:val="center"/>
            </w:pPr>
            <w:r>
              <w:rPr>
                <w:rFonts w:hint="eastAsia"/>
              </w:rPr>
              <w:t>其他</w:t>
            </w:r>
          </w:p>
        </w:tc>
        <w:tc>
          <w:tcPr>
            <w:tcW w:w="709" w:type="dxa"/>
            <w:vMerge w:val="continue"/>
            <w:tcMar>
              <w:top w:w="0" w:type="dxa"/>
              <w:left w:w="108" w:type="dxa"/>
              <w:bottom w:w="0" w:type="dxa"/>
              <w:right w:w="108" w:type="dxa"/>
            </w:tcMar>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r>
              <w:rPr>
                <w:rFonts w:hint="eastAsia"/>
              </w:rPr>
              <w:t>一、本年新收政府信息公开申请数量</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1</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r>
              <w:rPr>
                <w:rFonts w:hint="eastAsia"/>
              </w:rPr>
              <w:t>二、上年结转政府信息公开申请数量</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restart"/>
            <w:shd w:val="clear" w:color="auto" w:fill="9CC2E5"/>
            <w:tcMar>
              <w:top w:w="0" w:type="dxa"/>
              <w:left w:w="108" w:type="dxa"/>
              <w:bottom w:w="0" w:type="dxa"/>
              <w:right w:w="108" w:type="dxa"/>
            </w:tcMar>
            <w:vAlign w:val="center"/>
          </w:tcPr>
          <w:p>
            <w:r>
              <w:rPr>
                <w:rFonts w:hint="eastAsia"/>
              </w:rPr>
              <w:t>三、本年度办理结果</w:t>
            </w: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（一）予以公开</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1</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（二）部分公开（区分处理的，只计这一情形，不计其他情形）</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restart"/>
            <w:shd w:val="clear" w:color="auto" w:fill="BDD6EE"/>
            <w:tcMar>
              <w:top w:w="0" w:type="dxa"/>
              <w:left w:w="108" w:type="dxa"/>
              <w:bottom w:w="0" w:type="dxa"/>
              <w:right w:w="108" w:type="dxa"/>
            </w:tcMar>
            <w:vAlign w:val="center"/>
          </w:tcPr>
          <w:p>
            <w:pPr>
              <w:jc w:val="center"/>
              <w:rPr>
                <w:rFonts w:hint="eastAsia" w:ascii="楷体_GB2312" w:eastAsia="楷体_GB2312"/>
              </w:rPr>
            </w:pPr>
            <w:r>
              <w:rPr>
                <w:rFonts w:hint="eastAsia" w:ascii="楷体_GB2312" w:eastAsia="楷体_GB2312"/>
              </w:rPr>
              <w:t>（三）不予</w:t>
            </w:r>
          </w:p>
          <w:p>
            <w:pPr>
              <w:jc w:val="center"/>
              <w:rPr>
                <w:rFonts w:hint="eastAsia" w:ascii="楷体_GB2312" w:eastAsia="楷体_GB2312"/>
              </w:rPr>
            </w:pPr>
            <w:r>
              <w:rPr>
                <w:rFonts w:hint="eastAsia" w:ascii="楷体_GB2312" w:eastAsia="楷体_GB2312"/>
              </w:rPr>
              <w:t>公开</w:t>
            </w: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1.属于国家秘密</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2.其他法律行政法规禁止公开</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3.危及“三安全一稳定”</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4.保护第三方合法权益</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5.属于三类内部事务信息</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6.属于四类过程性信息</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7.属于行政执法案卷</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8.属于行政查询事项</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restart"/>
            <w:shd w:val="clear" w:color="auto" w:fill="BDD6EE"/>
            <w:tcMar>
              <w:top w:w="0" w:type="dxa"/>
              <w:left w:w="108" w:type="dxa"/>
              <w:bottom w:w="0" w:type="dxa"/>
              <w:right w:w="108" w:type="dxa"/>
            </w:tcMar>
            <w:vAlign w:val="center"/>
          </w:tcPr>
          <w:p>
            <w:pPr>
              <w:jc w:val="center"/>
              <w:rPr>
                <w:rFonts w:hint="eastAsia" w:ascii="楷体_GB2312" w:eastAsia="楷体_GB2312"/>
              </w:rPr>
            </w:pPr>
            <w:r>
              <w:rPr>
                <w:rFonts w:hint="eastAsia" w:ascii="楷体_GB2312" w:eastAsia="楷体_GB2312"/>
              </w:rPr>
              <w:t>（四）无法</w:t>
            </w:r>
          </w:p>
          <w:p>
            <w:pPr>
              <w:jc w:val="center"/>
              <w:rPr>
                <w:rFonts w:hint="eastAsia" w:ascii="楷体_GB2312" w:eastAsia="楷体_GB2312"/>
              </w:rPr>
            </w:pPr>
            <w:r>
              <w:rPr>
                <w:rFonts w:hint="eastAsia" w:ascii="楷体_GB2312" w:eastAsia="楷体_GB2312"/>
              </w:rPr>
              <w:t>提供</w:t>
            </w: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1.本机关不掌握相关政府信息</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2.没有现成信息需要另行制作</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jc w:val="cente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3.补正后申请内容仍不明确</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restart"/>
            <w:shd w:val="clear" w:color="auto" w:fill="BDD6EE"/>
            <w:tcMar>
              <w:top w:w="0" w:type="dxa"/>
              <w:left w:w="108" w:type="dxa"/>
              <w:bottom w:w="0" w:type="dxa"/>
              <w:right w:w="108" w:type="dxa"/>
            </w:tcMar>
            <w:vAlign w:val="center"/>
          </w:tcPr>
          <w:p>
            <w:pPr>
              <w:jc w:val="center"/>
              <w:rPr>
                <w:rFonts w:hint="eastAsia" w:ascii="楷体_GB2312" w:eastAsia="楷体_GB2312"/>
              </w:rPr>
            </w:pPr>
            <w:r>
              <w:rPr>
                <w:rFonts w:hint="eastAsia" w:ascii="楷体_GB2312" w:eastAsia="楷体_GB2312"/>
              </w:rPr>
              <w:t>（五）不予</w:t>
            </w:r>
          </w:p>
          <w:p>
            <w:pPr>
              <w:jc w:val="center"/>
              <w:rPr>
                <w:rFonts w:hint="eastAsia" w:ascii="楷体_GB2312" w:eastAsia="楷体_GB2312"/>
              </w:rPr>
            </w:pPr>
            <w:r>
              <w:rPr>
                <w:rFonts w:hint="eastAsia" w:ascii="楷体_GB2312" w:eastAsia="楷体_GB2312"/>
              </w:rPr>
              <w:t>处理</w:t>
            </w: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1.信访举报投诉类申请</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2.重复申请</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3.要求提供公开出版物</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4.无正当理由大量反复申请</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856" w:type="dxa"/>
            <w:vMerge w:val="continue"/>
            <w:shd w:val="clear" w:color="auto" w:fill="BDD6EE"/>
            <w:tcMar>
              <w:top w:w="0" w:type="dxa"/>
              <w:left w:w="108" w:type="dxa"/>
              <w:bottom w:w="0" w:type="dxa"/>
              <w:right w:w="108" w:type="dxa"/>
            </w:tcMar>
            <w:vAlign w:val="center"/>
          </w:tcPr>
          <w:p>
            <w:pPr>
              <w:rPr>
                <w:rFonts w:hint="eastAsia" w:ascii="楷体_GB2312" w:eastAsia="楷体_GB2312"/>
              </w:rPr>
            </w:pPr>
          </w:p>
        </w:tc>
        <w:tc>
          <w:tcPr>
            <w:tcW w:w="2957" w:type="dxa"/>
            <w:shd w:val="clear" w:color="auto" w:fill="DEEAF6"/>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5.要求行政机关确认或重新出具已获取信息</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（六）其他处理</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399" w:type="dxa"/>
            <w:vMerge w:val="continue"/>
            <w:shd w:val="clear" w:color="auto" w:fill="9CC2E5"/>
            <w:tcMar>
              <w:top w:w="0" w:type="dxa"/>
              <w:left w:w="108" w:type="dxa"/>
              <w:bottom w:w="0" w:type="dxa"/>
              <w:right w:w="108" w:type="dxa"/>
            </w:tcMar>
            <w:vAlign w:val="center"/>
          </w:tcPr>
          <w:p>
            <w:pPr>
              <w:rPr>
                <w:rFonts w:hint="eastAsia"/>
              </w:rPr>
            </w:pPr>
          </w:p>
        </w:tc>
        <w:tc>
          <w:tcPr>
            <w:tcW w:w="3813" w:type="dxa"/>
            <w:gridSpan w:val="2"/>
            <w:shd w:val="clear" w:color="auto" w:fill="BDD6EE"/>
            <w:tcMar>
              <w:top w:w="0" w:type="dxa"/>
              <w:left w:w="108" w:type="dxa"/>
              <w:bottom w:w="0" w:type="dxa"/>
              <w:right w:w="108" w:type="dxa"/>
            </w:tcMar>
            <w:vAlign w:val="center"/>
          </w:tcPr>
          <w:p>
            <w:pPr>
              <w:rPr>
                <w:rFonts w:hint="eastAsia" w:ascii="楷体_GB2312" w:eastAsia="楷体_GB2312"/>
              </w:rPr>
            </w:pPr>
            <w:r>
              <w:rPr>
                <w:rFonts w:hint="eastAsia" w:ascii="楷体_GB2312" w:eastAsia="楷体_GB2312"/>
              </w:rPr>
              <w:t>（七）总计</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1</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4" w:hRule="atLeast"/>
          <w:jc w:val="center"/>
        </w:trPr>
        <w:tc>
          <w:tcPr>
            <w:tcW w:w="4212" w:type="dxa"/>
            <w:gridSpan w:val="3"/>
            <w:shd w:val="clear" w:color="auto" w:fill="9CC2E5"/>
            <w:tcMar>
              <w:top w:w="0" w:type="dxa"/>
              <w:left w:w="108" w:type="dxa"/>
              <w:bottom w:w="0" w:type="dxa"/>
              <w:right w:w="108" w:type="dxa"/>
            </w:tcMar>
            <w:vAlign w:val="center"/>
          </w:tcPr>
          <w:p>
            <w:r>
              <w:rPr>
                <w:rFonts w:hint="eastAsia"/>
              </w:rPr>
              <w:t>四、结转下年度继续办理</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709"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bl>
    <w:p>
      <w:pPr>
        <w:spacing w:line="560" w:lineRule="exact"/>
        <w:ind w:firstLine="640" w:firstLineChars="200"/>
        <w:rPr>
          <w:rFonts w:hint="eastAsia" w:ascii="黑体" w:hAnsi="黑体" w:eastAsia="黑体" w:cs="黑体"/>
          <w:sz w:val="32"/>
          <w:szCs w:val="32"/>
        </w:rPr>
      </w:pPr>
      <w:bookmarkStart w:id="0" w:name="_GoBack"/>
      <w:bookmarkEnd w:id="0"/>
      <w:r>
        <w:rPr>
          <w:rFonts w:hint="eastAsia" w:ascii="黑体" w:hAnsi="黑体" w:eastAsia="黑体" w:cs="黑体"/>
          <w:sz w:val="32"/>
          <w:szCs w:val="32"/>
        </w:rPr>
        <w:t>四、政府信息公开行政复议、行政诉讼情况</w:t>
      </w:r>
    </w:p>
    <w:tbl>
      <w:tblPr>
        <w:tblStyle w:val="5"/>
        <w:tblW w:w="8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7"/>
        <w:gridCol w:w="541"/>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5" w:hRule="atLeast"/>
          <w:jc w:val="center"/>
        </w:trPr>
        <w:tc>
          <w:tcPr>
            <w:tcW w:w="2874" w:type="dxa"/>
            <w:gridSpan w:val="5"/>
            <w:tcBorders>
              <w:bottom w:val="single" w:color="auto" w:sz="4" w:space="0"/>
            </w:tcBorders>
            <w:shd w:val="clear" w:color="auto" w:fill="5B9BD5"/>
            <w:tcMar>
              <w:top w:w="0" w:type="dxa"/>
              <w:left w:w="108" w:type="dxa"/>
              <w:bottom w:w="0" w:type="dxa"/>
              <w:right w:w="108" w:type="dxa"/>
            </w:tcMar>
            <w:vAlign w:val="center"/>
          </w:tcPr>
          <w:p>
            <w:pPr>
              <w:jc w:val="center"/>
            </w:pPr>
            <w:r>
              <w:rPr>
                <w:rFonts w:hint="eastAsia"/>
              </w:rPr>
              <w:t>行政复议</w:t>
            </w:r>
          </w:p>
        </w:tc>
        <w:tc>
          <w:tcPr>
            <w:tcW w:w="5997" w:type="dxa"/>
            <w:gridSpan w:val="10"/>
            <w:tcBorders>
              <w:bottom w:val="single" w:color="auto" w:sz="4" w:space="0"/>
            </w:tcBorders>
            <w:shd w:val="clear" w:color="auto" w:fill="5B9BD5"/>
            <w:tcMar>
              <w:top w:w="0" w:type="dxa"/>
              <w:left w:w="108" w:type="dxa"/>
              <w:bottom w:w="0" w:type="dxa"/>
              <w:right w:w="108" w:type="dxa"/>
            </w:tcMar>
            <w:vAlign w:val="center"/>
          </w:tcPr>
          <w:p>
            <w:pPr>
              <w:jc w:val="center"/>
            </w:pPr>
            <w:r>
              <w:rPr>
                <w:rFonts w:hint="eastAsia"/>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5" w:hRule="atLeast"/>
          <w:jc w:val="center"/>
        </w:trPr>
        <w:tc>
          <w:tcPr>
            <w:tcW w:w="467"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结</w:t>
            </w:r>
          </w:p>
          <w:p>
            <w:pPr>
              <w:jc w:val="center"/>
            </w:pPr>
            <w:r>
              <w:rPr>
                <w:rFonts w:hint="eastAsia"/>
              </w:rPr>
              <w:t>果</w:t>
            </w:r>
          </w:p>
          <w:p>
            <w:pPr>
              <w:jc w:val="center"/>
            </w:pPr>
            <w:r>
              <w:rPr>
                <w:rFonts w:hint="eastAsia"/>
              </w:rPr>
              <w:t>维</w:t>
            </w:r>
          </w:p>
          <w:p>
            <w:pPr>
              <w:jc w:val="center"/>
            </w:pPr>
            <w:r>
              <w:rPr>
                <w:rFonts w:hint="eastAsia"/>
              </w:rPr>
              <w:t>持</w:t>
            </w:r>
          </w:p>
        </w:tc>
        <w:tc>
          <w:tcPr>
            <w:tcW w:w="541"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结果纠正</w:t>
            </w:r>
          </w:p>
        </w:tc>
        <w:tc>
          <w:tcPr>
            <w:tcW w:w="604"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其他结果</w:t>
            </w:r>
          </w:p>
        </w:tc>
        <w:tc>
          <w:tcPr>
            <w:tcW w:w="604"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尚未审结</w:t>
            </w:r>
          </w:p>
        </w:tc>
        <w:tc>
          <w:tcPr>
            <w:tcW w:w="658" w:type="dxa"/>
            <w:vMerge w:val="restart"/>
            <w:tcBorders>
              <w:top w:val="single" w:color="auto" w:sz="4" w:space="0"/>
            </w:tcBorders>
            <w:shd w:val="clear" w:color="auto" w:fill="auto"/>
            <w:tcMar>
              <w:top w:w="0" w:type="dxa"/>
              <w:left w:w="108" w:type="dxa"/>
              <w:bottom w:w="0" w:type="dxa"/>
              <w:right w:w="108" w:type="dxa"/>
            </w:tcMar>
            <w:vAlign w:val="center"/>
          </w:tcPr>
          <w:p>
            <w:pPr>
              <w:jc w:val="center"/>
            </w:pPr>
            <w:r>
              <w:rPr>
                <w:rFonts w:hint="eastAsia"/>
              </w:rPr>
              <w:t>总 计</w:t>
            </w:r>
          </w:p>
        </w:tc>
        <w:tc>
          <w:tcPr>
            <w:tcW w:w="2970" w:type="dxa"/>
            <w:gridSpan w:val="5"/>
            <w:tcBorders>
              <w:top w:val="single" w:color="auto" w:sz="4" w:space="0"/>
            </w:tcBorders>
            <w:shd w:val="clear" w:color="auto" w:fill="9CC2E5"/>
            <w:tcMar>
              <w:top w:w="0" w:type="dxa"/>
              <w:left w:w="108" w:type="dxa"/>
              <w:bottom w:w="0" w:type="dxa"/>
              <w:right w:w="108" w:type="dxa"/>
            </w:tcMar>
            <w:vAlign w:val="center"/>
          </w:tcPr>
          <w:p>
            <w:pPr>
              <w:jc w:val="center"/>
            </w:pPr>
            <w:r>
              <w:rPr>
                <w:rFonts w:hint="eastAsia"/>
              </w:rPr>
              <w:t>未经复议直接起诉</w:t>
            </w:r>
          </w:p>
        </w:tc>
        <w:tc>
          <w:tcPr>
            <w:tcW w:w="3027" w:type="dxa"/>
            <w:gridSpan w:val="5"/>
            <w:tcBorders>
              <w:top w:val="single" w:color="auto" w:sz="4" w:space="0"/>
            </w:tcBorders>
            <w:shd w:val="clear" w:color="auto" w:fill="9CC2E5"/>
            <w:tcMar>
              <w:top w:w="0" w:type="dxa"/>
              <w:left w:w="108" w:type="dxa"/>
              <w:bottom w:w="0" w:type="dxa"/>
              <w:right w:w="108" w:type="dxa"/>
            </w:tcMar>
            <w:vAlign w:val="center"/>
          </w:tcPr>
          <w:p>
            <w:pPr>
              <w:jc w:val="center"/>
            </w:pPr>
            <w:r>
              <w:rPr>
                <w:rFonts w:hint="eastAsia"/>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467" w:type="dxa"/>
            <w:vMerge w:val="continue"/>
            <w:tcMar>
              <w:top w:w="0" w:type="dxa"/>
              <w:left w:w="108" w:type="dxa"/>
              <w:bottom w:w="0" w:type="dxa"/>
              <w:right w:w="108" w:type="dxa"/>
            </w:tcMar>
            <w:vAlign w:val="center"/>
          </w:tcPr>
          <w:p>
            <w:pPr>
              <w:jc w:val="center"/>
              <w:rPr>
                <w:rFonts w:hint="eastAsia"/>
              </w:rPr>
            </w:pPr>
          </w:p>
        </w:tc>
        <w:tc>
          <w:tcPr>
            <w:tcW w:w="541" w:type="dxa"/>
            <w:vMerge w:val="continue"/>
            <w:tcMar>
              <w:top w:w="0" w:type="dxa"/>
              <w:left w:w="108" w:type="dxa"/>
              <w:bottom w:w="0" w:type="dxa"/>
              <w:right w:w="108" w:type="dxa"/>
            </w:tcMar>
            <w:vAlign w:val="center"/>
          </w:tcPr>
          <w:p>
            <w:pPr>
              <w:jc w:val="center"/>
              <w:rPr>
                <w:rFonts w:hint="eastAsia"/>
              </w:rPr>
            </w:pPr>
          </w:p>
        </w:tc>
        <w:tc>
          <w:tcPr>
            <w:tcW w:w="604" w:type="dxa"/>
            <w:vMerge w:val="continue"/>
            <w:tcMar>
              <w:top w:w="0" w:type="dxa"/>
              <w:left w:w="108" w:type="dxa"/>
              <w:bottom w:w="0" w:type="dxa"/>
              <w:right w:w="108" w:type="dxa"/>
            </w:tcMar>
            <w:vAlign w:val="center"/>
          </w:tcPr>
          <w:p>
            <w:pPr>
              <w:jc w:val="center"/>
              <w:rPr>
                <w:rFonts w:hint="eastAsia"/>
              </w:rPr>
            </w:pPr>
          </w:p>
        </w:tc>
        <w:tc>
          <w:tcPr>
            <w:tcW w:w="604" w:type="dxa"/>
            <w:vMerge w:val="continue"/>
            <w:tcMar>
              <w:top w:w="0" w:type="dxa"/>
              <w:left w:w="108" w:type="dxa"/>
              <w:bottom w:w="0" w:type="dxa"/>
              <w:right w:w="108" w:type="dxa"/>
            </w:tcMar>
            <w:vAlign w:val="center"/>
          </w:tcPr>
          <w:p>
            <w:pPr>
              <w:jc w:val="center"/>
              <w:rPr>
                <w:rFonts w:hint="eastAsia"/>
              </w:rPr>
            </w:pPr>
          </w:p>
        </w:tc>
        <w:tc>
          <w:tcPr>
            <w:tcW w:w="658" w:type="dxa"/>
            <w:vMerge w:val="continue"/>
            <w:tcMar>
              <w:top w:w="0" w:type="dxa"/>
              <w:left w:w="108" w:type="dxa"/>
              <w:bottom w:w="0" w:type="dxa"/>
              <w:right w:w="108" w:type="dxa"/>
            </w:tcMar>
            <w:vAlign w:val="center"/>
          </w:tcPr>
          <w:p>
            <w:pPr>
              <w:jc w:val="center"/>
              <w:rPr>
                <w:rFonts w:hint="eastAsia"/>
              </w:rPr>
            </w:pPr>
          </w:p>
        </w:tc>
        <w:tc>
          <w:tcPr>
            <w:tcW w:w="550" w:type="dxa"/>
            <w:tcMar>
              <w:top w:w="0" w:type="dxa"/>
              <w:left w:w="108" w:type="dxa"/>
              <w:bottom w:w="0" w:type="dxa"/>
              <w:right w:w="108" w:type="dxa"/>
            </w:tcMar>
            <w:vAlign w:val="center"/>
          </w:tcPr>
          <w:p>
            <w:pPr>
              <w:jc w:val="center"/>
            </w:pPr>
            <w:r>
              <w:rPr>
                <w:rFonts w:hint="eastAsia"/>
              </w:rPr>
              <w:t>结果维持</w:t>
            </w:r>
          </w:p>
        </w:tc>
        <w:tc>
          <w:tcPr>
            <w:tcW w:w="605" w:type="dxa"/>
            <w:tcMar>
              <w:top w:w="0" w:type="dxa"/>
              <w:left w:w="108" w:type="dxa"/>
              <w:bottom w:w="0" w:type="dxa"/>
              <w:right w:w="108" w:type="dxa"/>
            </w:tcMar>
            <w:vAlign w:val="center"/>
          </w:tcPr>
          <w:p>
            <w:pPr>
              <w:jc w:val="center"/>
            </w:pPr>
            <w:r>
              <w:rPr>
                <w:rFonts w:hint="eastAsia"/>
              </w:rPr>
              <w:t>结果纠正</w:t>
            </w:r>
          </w:p>
        </w:tc>
        <w:tc>
          <w:tcPr>
            <w:tcW w:w="605" w:type="dxa"/>
            <w:tcMar>
              <w:top w:w="0" w:type="dxa"/>
              <w:left w:w="108" w:type="dxa"/>
              <w:bottom w:w="0" w:type="dxa"/>
              <w:right w:w="108" w:type="dxa"/>
            </w:tcMar>
            <w:vAlign w:val="center"/>
          </w:tcPr>
          <w:p>
            <w:pPr>
              <w:jc w:val="center"/>
            </w:pPr>
            <w:r>
              <w:rPr>
                <w:rFonts w:hint="eastAsia"/>
              </w:rPr>
              <w:t>其他结果</w:t>
            </w:r>
          </w:p>
        </w:tc>
        <w:tc>
          <w:tcPr>
            <w:tcW w:w="605" w:type="dxa"/>
            <w:tcMar>
              <w:top w:w="0" w:type="dxa"/>
              <w:left w:w="108" w:type="dxa"/>
              <w:bottom w:w="0" w:type="dxa"/>
              <w:right w:w="108" w:type="dxa"/>
            </w:tcMar>
            <w:vAlign w:val="center"/>
          </w:tcPr>
          <w:p>
            <w:pPr>
              <w:jc w:val="center"/>
            </w:pPr>
            <w:r>
              <w:rPr>
                <w:rFonts w:hint="eastAsia"/>
              </w:rPr>
              <w:t>尚未审结</w:t>
            </w:r>
          </w:p>
        </w:tc>
        <w:tc>
          <w:tcPr>
            <w:tcW w:w="605" w:type="dxa"/>
            <w:tcMar>
              <w:top w:w="0" w:type="dxa"/>
              <w:left w:w="108" w:type="dxa"/>
              <w:bottom w:w="0" w:type="dxa"/>
              <w:right w:w="108" w:type="dxa"/>
            </w:tcMar>
            <w:vAlign w:val="center"/>
          </w:tcPr>
          <w:p>
            <w:pPr>
              <w:jc w:val="center"/>
            </w:pPr>
            <w:r>
              <w:rPr>
                <w:rFonts w:hint="eastAsia"/>
              </w:rPr>
              <w:t>总计</w:t>
            </w:r>
          </w:p>
        </w:tc>
        <w:tc>
          <w:tcPr>
            <w:tcW w:w="605" w:type="dxa"/>
            <w:tcMar>
              <w:top w:w="0" w:type="dxa"/>
              <w:left w:w="108" w:type="dxa"/>
              <w:bottom w:w="0" w:type="dxa"/>
              <w:right w:w="108" w:type="dxa"/>
            </w:tcMar>
            <w:vAlign w:val="center"/>
          </w:tcPr>
          <w:p>
            <w:pPr>
              <w:jc w:val="center"/>
            </w:pPr>
            <w:r>
              <w:rPr>
                <w:rFonts w:hint="eastAsia"/>
              </w:rPr>
              <w:t>结果维持</w:t>
            </w:r>
          </w:p>
        </w:tc>
        <w:tc>
          <w:tcPr>
            <w:tcW w:w="605" w:type="dxa"/>
            <w:tcMar>
              <w:top w:w="0" w:type="dxa"/>
              <w:left w:w="108" w:type="dxa"/>
              <w:bottom w:w="0" w:type="dxa"/>
              <w:right w:w="108" w:type="dxa"/>
            </w:tcMar>
            <w:vAlign w:val="center"/>
          </w:tcPr>
          <w:p>
            <w:pPr>
              <w:jc w:val="center"/>
            </w:pPr>
            <w:r>
              <w:rPr>
                <w:rFonts w:hint="eastAsia"/>
              </w:rPr>
              <w:t>结果纠正</w:t>
            </w:r>
          </w:p>
        </w:tc>
        <w:tc>
          <w:tcPr>
            <w:tcW w:w="605" w:type="dxa"/>
            <w:tcMar>
              <w:top w:w="0" w:type="dxa"/>
              <w:left w:w="108" w:type="dxa"/>
              <w:bottom w:w="0" w:type="dxa"/>
              <w:right w:w="108" w:type="dxa"/>
            </w:tcMar>
            <w:vAlign w:val="center"/>
          </w:tcPr>
          <w:p>
            <w:pPr>
              <w:jc w:val="center"/>
            </w:pPr>
            <w:r>
              <w:rPr>
                <w:rFonts w:hint="eastAsia"/>
              </w:rPr>
              <w:t>其他结果</w:t>
            </w:r>
          </w:p>
        </w:tc>
        <w:tc>
          <w:tcPr>
            <w:tcW w:w="606" w:type="dxa"/>
            <w:tcMar>
              <w:top w:w="0" w:type="dxa"/>
              <w:left w:w="108" w:type="dxa"/>
              <w:bottom w:w="0" w:type="dxa"/>
              <w:right w:w="108" w:type="dxa"/>
            </w:tcMar>
            <w:vAlign w:val="center"/>
          </w:tcPr>
          <w:p>
            <w:pPr>
              <w:jc w:val="center"/>
            </w:pPr>
            <w:r>
              <w:rPr>
                <w:rFonts w:hint="eastAsia"/>
              </w:rPr>
              <w:t>尚未审结</w:t>
            </w:r>
          </w:p>
        </w:tc>
        <w:tc>
          <w:tcPr>
            <w:tcW w:w="606" w:type="dxa"/>
            <w:tcMar>
              <w:top w:w="0" w:type="dxa"/>
              <w:left w:w="108" w:type="dxa"/>
              <w:bottom w:w="0" w:type="dxa"/>
              <w:right w:w="108" w:type="dxa"/>
            </w:tcMar>
            <w:vAlign w:val="center"/>
          </w:tcPr>
          <w:p>
            <w:pPr>
              <w:jc w:val="center"/>
            </w:pPr>
            <w:r>
              <w:rPr>
                <w:rFonts w:hint="eastAsi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84" w:hRule="atLeast"/>
          <w:jc w:val="center"/>
        </w:trPr>
        <w:tc>
          <w:tcPr>
            <w:tcW w:w="467"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41"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4"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4"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58"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550"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5"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6"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c>
          <w:tcPr>
            <w:tcW w:w="606" w:type="dxa"/>
            <w:tcMar>
              <w:top w:w="0" w:type="dxa"/>
              <w:left w:w="108" w:type="dxa"/>
              <w:bottom w:w="0" w:type="dxa"/>
              <w:right w:w="108" w:type="dxa"/>
            </w:tcMar>
            <w:vAlign w:val="center"/>
          </w:tcPr>
          <w:p>
            <w:pPr>
              <w:jc w:val="center"/>
              <w:rPr>
                <w:rFonts w:hint="eastAsia" w:eastAsia="宋体"/>
                <w:lang w:val="en-US" w:eastAsia="zh-CN"/>
              </w:rPr>
            </w:pPr>
            <w:r>
              <w:rPr>
                <w:rFonts w:hint="eastAsia"/>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lang w:eastAsia="zh-CN"/>
        </w:rPr>
        <w:t>年，我街道严格按照《条例》和区政务服务局的要求开展政府信息公开工作，虽然取得了一些进步，但还存在一些不足。一是在政策解读方面信息公开量少；二是在依申请公开的工作细节研究上相对较弱；三是信息公开的涉及面还不够宽，存在公开信息"不平衡"的现象。下一步将加强政策解读方面工作信息公开量；进一步完善街道政府信息公开</w:t>
      </w:r>
      <w:r>
        <w:rPr>
          <w:rFonts w:hint="eastAsia" w:ascii="仿宋_GB2312" w:hAnsi="仿宋_GB2312" w:eastAsia="仿宋_GB2312" w:cs="仿宋_GB2312"/>
          <w:kern w:val="0"/>
          <w:sz w:val="32"/>
          <w:szCs w:val="32"/>
          <w:lang w:val="en-US" w:eastAsia="zh-CN"/>
        </w:rPr>
        <w:t>机制，</w:t>
      </w:r>
      <w:r>
        <w:rPr>
          <w:rFonts w:hint="eastAsia" w:ascii="仿宋_GB2312" w:hAnsi="仿宋_GB2312" w:eastAsia="仿宋_GB2312" w:cs="仿宋_GB2312"/>
          <w:kern w:val="0"/>
          <w:sz w:val="32"/>
          <w:szCs w:val="32"/>
          <w:lang w:eastAsia="zh-CN"/>
        </w:rPr>
        <w:t>规范依申请公开的办理；通过开展相关培训加强街道各部门、各领域的信息公开工作，</w:t>
      </w:r>
      <w:r>
        <w:rPr>
          <w:rFonts w:hint="eastAsia" w:ascii="仿宋_GB2312" w:hAnsi="仿宋_GB2312" w:eastAsia="仿宋_GB2312" w:cs="仿宋_GB2312"/>
          <w:kern w:val="0"/>
          <w:sz w:val="32"/>
          <w:szCs w:val="32"/>
          <w:lang w:val="en-US" w:eastAsia="zh-CN"/>
        </w:rPr>
        <w:t>切实保障公众知情权、参与权、监督权</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lang w:val="en-US" w:eastAsia="zh-CN"/>
        </w:rPr>
      </w:pPr>
      <w:r>
        <w:rPr>
          <w:rFonts w:hint="eastAsia" w:ascii="仿宋_GB2312" w:hAnsi="仿宋_GB2312" w:eastAsia="仿宋_GB2312" w:cs="仿宋_GB2312"/>
          <w:color w:val="000000"/>
          <w:kern w:val="2"/>
          <w:sz w:val="32"/>
          <w:szCs w:val="32"/>
          <w:lang w:val="en-US" w:eastAsia="zh-CN" w:bidi="ar-SA"/>
        </w:rPr>
        <w:t>无。</w:t>
      </w:r>
    </w:p>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80C88"/>
    <w:rsid w:val="003F72A2"/>
    <w:rsid w:val="01943686"/>
    <w:rsid w:val="02902AF2"/>
    <w:rsid w:val="090778B7"/>
    <w:rsid w:val="09153044"/>
    <w:rsid w:val="0C494203"/>
    <w:rsid w:val="0E13007B"/>
    <w:rsid w:val="0EF864BA"/>
    <w:rsid w:val="10772163"/>
    <w:rsid w:val="113C0861"/>
    <w:rsid w:val="136B1DB5"/>
    <w:rsid w:val="17635F01"/>
    <w:rsid w:val="19417040"/>
    <w:rsid w:val="1A7D052E"/>
    <w:rsid w:val="22D2143D"/>
    <w:rsid w:val="27BA670B"/>
    <w:rsid w:val="2A9855D9"/>
    <w:rsid w:val="30204EEF"/>
    <w:rsid w:val="31A852B0"/>
    <w:rsid w:val="31C30A46"/>
    <w:rsid w:val="32956DAD"/>
    <w:rsid w:val="35EC3687"/>
    <w:rsid w:val="36377720"/>
    <w:rsid w:val="37AC0BEE"/>
    <w:rsid w:val="3BD71251"/>
    <w:rsid w:val="3CBF4518"/>
    <w:rsid w:val="3F1223A0"/>
    <w:rsid w:val="41F92DCA"/>
    <w:rsid w:val="4290357D"/>
    <w:rsid w:val="46064A0F"/>
    <w:rsid w:val="471A5259"/>
    <w:rsid w:val="50A76288"/>
    <w:rsid w:val="55F80C88"/>
    <w:rsid w:val="583B7A7B"/>
    <w:rsid w:val="58C612E5"/>
    <w:rsid w:val="5A8848CE"/>
    <w:rsid w:val="5CBE557F"/>
    <w:rsid w:val="62126640"/>
    <w:rsid w:val="64417745"/>
    <w:rsid w:val="650E1350"/>
    <w:rsid w:val="67517E43"/>
    <w:rsid w:val="6B2038A4"/>
    <w:rsid w:val="6BA00578"/>
    <w:rsid w:val="71D90AD6"/>
    <w:rsid w:val="75FB6A83"/>
    <w:rsid w:val="76373874"/>
    <w:rsid w:val="7A123B97"/>
    <w:rsid w:val="7B0E3B5E"/>
    <w:rsid w:val="7C7A0704"/>
    <w:rsid w:val="7D1F31BA"/>
    <w:rsid w:val="7E5B2296"/>
    <w:rsid w:val="7FCC7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2020-12-16T09:25:00Z</dcterms:created>
  <dc:creator>小卓玛</dc:creator>
  <cp:lastModifiedBy>信息公开科</cp:lastModifiedBy>
  <dcterms:modified xsi:type="dcterms:W3CDTF">2021-01-11T09:33:42Z</dcterms:modified>
  <dc:title>北京市大兴区天宫院街道</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