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hint="eastAsia" w:ascii="方正小标宋简体" w:hAnsi="方正小标宋简体" w:eastAsia="方正小标宋简体" w:cs="方正小标宋简体"/>
          <w:b w:val="0"/>
          <w:bCs/>
          <w:color w:val="auto"/>
          <w:szCs w:val="44"/>
        </w:rPr>
      </w:pPr>
      <w:r>
        <w:rPr>
          <w:rFonts w:hint="eastAsia" w:ascii="方正小标宋简体" w:hAnsi="方正小标宋简体" w:eastAsia="方正小标宋简体" w:cs="方正小标宋简体"/>
          <w:b w:val="0"/>
          <w:bCs/>
          <w:color w:val="auto"/>
          <w:szCs w:val="44"/>
        </w:rPr>
        <w:t>北京市大兴区水务局201</w:t>
      </w:r>
      <w:r>
        <w:rPr>
          <w:rFonts w:hint="eastAsia" w:hAnsi="方正小标宋简体" w:cs="方正小标宋简体"/>
          <w:b w:val="0"/>
          <w:bCs/>
          <w:color w:val="auto"/>
          <w:szCs w:val="44"/>
          <w:lang w:val="en-US" w:eastAsia="zh-CN"/>
        </w:rPr>
        <w:t>5</w:t>
      </w:r>
      <w:r>
        <w:rPr>
          <w:rFonts w:hint="eastAsia" w:ascii="方正小标宋简体" w:hAnsi="方正小标宋简体" w:eastAsia="方正小标宋简体" w:cs="方正小标宋简体"/>
          <w:b w:val="0"/>
          <w:bCs/>
          <w:color w:val="auto"/>
          <w:szCs w:val="44"/>
        </w:rPr>
        <w:t>年度</w:t>
      </w:r>
    </w:p>
    <w:p>
      <w:pPr>
        <w:pStyle w:val="3"/>
        <w:adjustRightInd w:val="0"/>
        <w:spacing w:beforeLines="100" w:afterLines="100" w:line="560" w:lineRule="exact"/>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Cs w:val="44"/>
        </w:rPr>
        <w:t>政府信息公开工作年度报告</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rPr>
          <w:rFonts w:hint="eastAsia" w:ascii="宋体" w:hAnsi="宋体" w:eastAsia="宋体" w:cs="宋体"/>
          <w:i w:val="0"/>
          <w:caps w:val="0"/>
          <w:color w:val="000000"/>
          <w:spacing w:val="0"/>
          <w:sz w:val="18"/>
          <w:szCs w:val="18"/>
        </w:rPr>
      </w:pPr>
      <w:r>
        <w:rPr>
          <w:rFonts w:hint="eastAsia" w:ascii="楷体_GB2312" w:hAnsi="楷体_GB2312" w:eastAsia="楷体_GB2312" w:cs="楷体_GB2312"/>
          <w:b/>
          <w:color w:val="auto"/>
          <w:sz w:val="32"/>
          <w:szCs w:val="32"/>
        </w:rPr>
        <w:br w:type="page"/>
      </w:r>
      <w:r>
        <w:rPr>
          <w:rFonts w:ascii="仿宋_GB2312" w:hAnsi="宋体" w:eastAsia="仿宋_GB2312" w:cs="仿宋_GB2312"/>
          <w:i w:val="0"/>
          <w:caps w:val="0"/>
          <w:color w:val="000000"/>
          <w:spacing w:val="0"/>
          <w:kern w:val="0"/>
          <w:sz w:val="32"/>
          <w:szCs w:val="32"/>
          <w:lang w:val="en-US" w:eastAsia="zh-CN" w:bidi="ar-SA"/>
        </w:rPr>
        <w:t>本报告是根据《中华人民共和国政府信息公开条例》（以下</w:t>
      </w:r>
      <w:r>
        <w:rPr>
          <w:rFonts w:hint="eastAsia" w:ascii="仿宋_GB2312" w:hAnsi="宋体" w:eastAsia="仿宋_GB2312" w:cs="仿宋_GB2312"/>
          <w:i w:val="0"/>
          <w:caps w:val="0"/>
          <w:color w:val="000000"/>
          <w:spacing w:val="0"/>
          <w:kern w:val="0"/>
          <w:sz w:val="32"/>
          <w:szCs w:val="32"/>
          <w:lang w:val="en-US" w:eastAsia="zh-CN" w:bidi="ar-SA"/>
        </w:rPr>
        <w:t>简称《条例》）要求，由北京市大兴区水务局编制的2015年度政府信息公开年度报告。</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全文包括概述，主动公开政府信息的情况，依申请公开政府信息和不予公开政府信息的情况，因政府信息公开申请行政复议、提起行政诉讼的情况，政府信息公开工作存在不足及改进措施。</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本报告中所列数据的统计期限自2015年1月1日起至2015年12月31日止。本报告的电子</w:t>
      </w:r>
      <w:r>
        <w:rPr>
          <w:rFonts w:hint="eastAsia" w:ascii="仿宋_GB2312" w:hAnsi="宋体" w:eastAsia="仿宋_GB2312" w:cs="仿宋_GB2312"/>
          <w:i w:val="0"/>
          <w:caps w:val="0"/>
          <w:color w:val="000000"/>
          <w:spacing w:val="-2"/>
          <w:kern w:val="0"/>
          <w:sz w:val="32"/>
          <w:szCs w:val="32"/>
          <w:lang w:val="en-US" w:eastAsia="zh-CN" w:bidi="ar-SA"/>
        </w:rPr>
        <w:t>版可在大兴信息网（</w:t>
      </w:r>
      <w:r>
        <w:rPr>
          <w:rFonts w:hint="eastAsia" w:ascii="仿宋_GB2312" w:hAnsi="宋体" w:eastAsia="仿宋_GB2312" w:cs="仿宋_GB2312"/>
          <w:i w:val="0"/>
          <w:caps w:val="0"/>
          <w:color w:val="000000"/>
          <w:spacing w:val="-12"/>
          <w:kern w:val="0"/>
          <w:sz w:val="32"/>
          <w:szCs w:val="32"/>
          <w:lang w:val="en-US" w:eastAsia="zh-CN" w:bidi="ar-SA"/>
        </w:rPr>
        <w:t>http://www.bjdx.gov.cn/</w:t>
      </w:r>
      <w:r>
        <w:rPr>
          <w:rFonts w:hint="eastAsia" w:ascii="仿宋_GB2312" w:hAnsi="宋体" w:eastAsia="仿宋_GB2312" w:cs="仿宋_GB2312"/>
          <w:i w:val="0"/>
          <w:caps w:val="0"/>
          <w:color w:val="000000"/>
          <w:spacing w:val="-2"/>
          <w:kern w:val="0"/>
          <w:sz w:val="32"/>
          <w:szCs w:val="32"/>
          <w:lang w:val="en-US" w:eastAsia="zh-CN" w:bidi="ar-SA"/>
        </w:rPr>
        <w:t>）信息公开栏目中下载。</w:t>
      </w:r>
      <w:r>
        <w:rPr>
          <w:rFonts w:hint="eastAsia" w:ascii="仿宋_GB2312" w:hAnsi="宋体" w:eastAsia="仿宋_GB2312" w:cs="仿宋_GB2312"/>
          <w:i w:val="0"/>
          <w:caps w:val="0"/>
          <w:color w:val="000000"/>
          <w:spacing w:val="0"/>
          <w:kern w:val="0"/>
          <w:sz w:val="32"/>
          <w:szCs w:val="32"/>
          <w:lang w:val="en-US" w:eastAsia="zh-CN" w:bidi="ar-SA"/>
        </w:rPr>
        <w:t>如对报告有任何疑问，请与水务局联系（地址:北京市大兴区永华南里14号楼；邮编：102600；</w:t>
      </w:r>
      <w:r>
        <w:rPr>
          <w:rFonts w:hint="eastAsia" w:ascii="仿宋_GB2312" w:hAnsi="宋体" w:eastAsia="仿宋_GB2312" w:cs="仿宋_GB2312"/>
          <w:i w:val="0"/>
          <w:caps w:val="0"/>
          <w:color w:val="000000"/>
          <w:spacing w:val="-12"/>
          <w:kern w:val="0"/>
          <w:sz w:val="32"/>
          <w:szCs w:val="32"/>
          <w:lang w:val="en-US" w:eastAsia="zh-CN" w:bidi="ar-SA"/>
        </w:rPr>
        <w:t>联系电话：010-</w:t>
      </w:r>
      <w:r>
        <w:rPr>
          <w:rFonts w:hint="eastAsia" w:ascii="仿宋_GB2312" w:hAnsi="宋体" w:eastAsia="仿宋_GB2312" w:cs="仿宋_GB2312"/>
          <w:i w:val="0"/>
          <w:caps w:val="0"/>
          <w:color w:val="000000"/>
          <w:spacing w:val="0"/>
          <w:kern w:val="0"/>
          <w:sz w:val="32"/>
          <w:szCs w:val="32"/>
          <w:lang w:val="en-US" w:eastAsia="zh-CN" w:bidi="ar-SA"/>
        </w:rPr>
        <w:t>81298181</w:t>
      </w:r>
      <w:r>
        <w:rPr>
          <w:rFonts w:hint="eastAsia" w:ascii="仿宋_GB2312" w:hAnsi="宋体" w:eastAsia="仿宋_GB2312" w:cs="仿宋_GB2312"/>
          <w:i w:val="0"/>
          <w:caps w:val="0"/>
          <w:color w:val="000000"/>
          <w:spacing w:val="-12"/>
          <w:kern w:val="0"/>
          <w:sz w:val="32"/>
          <w:szCs w:val="32"/>
          <w:lang w:val="en-US" w:eastAsia="zh-CN" w:bidi="ar-SA"/>
        </w:rPr>
        <w:t>；电子邮箱：</w:t>
      </w:r>
      <w:r>
        <w:rPr>
          <w:rFonts w:hint="eastAsia" w:ascii="仿宋_GB2312" w:hAnsi="宋体" w:eastAsia="仿宋_GB2312" w:cs="仿宋_GB2312"/>
          <w:i w:val="0"/>
          <w:caps w:val="0"/>
          <w:color w:val="000000"/>
          <w:spacing w:val="0"/>
          <w:kern w:val="0"/>
          <w:sz w:val="32"/>
          <w:szCs w:val="32"/>
          <w:lang w:val="en-US" w:eastAsia="zh-CN" w:bidi="ar-SA"/>
        </w:rPr>
        <w:t>swjzhb</w:t>
      </w:r>
      <w:r>
        <w:rPr>
          <w:rFonts w:hint="eastAsia" w:ascii="仿宋_GB2312" w:hAnsi="宋体" w:eastAsia="仿宋_GB2312" w:cs="仿宋_GB2312"/>
          <w:i w:val="0"/>
          <w:caps w:val="0"/>
          <w:color w:val="000000"/>
          <w:spacing w:val="-12"/>
          <w:kern w:val="0"/>
          <w:sz w:val="32"/>
          <w:szCs w:val="32"/>
          <w:lang w:val="en-US" w:eastAsia="zh-CN" w:bidi="ar-SA"/>
        </w:rPr>
        <w:t>@</w:t>
      </w:r>
      <w:r>
        <w:rPr>
          <w:rFonts w:hint="eastAsia" w:ascii="仿宋_GB2312" w:hAnsi="宋体" w:eastAsia="仿宋_GB2312" w:cs="仿宋_GB2312"/>
          <w:i w:val="0"/>
          <w:caps w:val="0"/>
          <w:color w:val="000000"/>
          <w:spacing w:val="0"/>
          <w:kern w:val="0"/>
          <w:sz w:val="32"/>
          <w:szCs w:val="32"/>
          <w:lang w:val="en-US" w:eastAsia="zh-CN" w:bidi="ar-SA"/>
        </w:rPr>
        <w:t>bjdx.gov.cn</w:t>
      </w:r>
      <w:r>
        <w:rPr>
          <w:rFonts w:hint="eastAsia" w:ascii="仿宋_GB2312" w:hAnsi="宋体" w:eastAsia="仿宋_GB2312" w:cs="仿宋_GB2312"/>
          <w:i w:val="0"/>
          <w:caps w:val="0"/>
          <w:color w:val="000000"/>
          <w:spacing w:val="-12"/>
          <w:kern w:val="0"/>
          <w:sz w:val="32"/>
          <w:szCs w:val="32"/>
          <w:lang w:val="en-US" w:eastAsia="zh-CN" w:bidi="ar-SA"/>
        </w:rPr>
        <w:t>）。。</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仿宋_GB2312" w:hAnsi="宋体" w:eastAsia="仿宋_GB2312" w:cs="仿宋_GB2312"/>
          <w:i w:val="0"/>
          <w:caps w:val="0"/>
          <w:color w:val="000000"/>
          <w:spacing w:val="0"/>
          <w:kern w:val="0"/>
          <w:sz w:val="32"/>
          <w:szCs w:val="32"/>
          <w:lang w:val="en-US" w:eastAsia="zh-CN" w:bidi="ar-SA"/>
        </w:rPr>
      </w:pPr>
      <w:r>
        <w:rPr>
          <w:rFonts w:hint="eastAsia" w:ascii="仿宋_GB2312" w:hAnsi="宋体" w:eastAsia="仿宋_GB2312" w:cs="仿宋_GB2312"/>
          <w:i w:val="0"/>
          <w:caps w:val="0"/>
          <w:color w:val="000000"/>
          <w:spacing w:val="0"/>
          <w:kern w:val="0"/>
          <w:sz w:val="32"/>
          <w:szCs w:val="32"/>
          <w:lang w:val="en-US" w:eastAsia="zh-CN" w:bidi="ar-SA"/>
        </w:rPr>
        <w:br/>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仿宋_GB2312" w:hAnsi="宋体" w:eastAsia="仿宋_GB2312" w:cs="仿宋_GB2312"/>
          <w:i w:val="0"/>
          <w:caps w:val="0"/>
          <w:color w:val="000000"/>
          <w:spacing w:val="0"/>
          <w:kern w:val="0"/>
          <w:sz w:val="32"/>
          <w:szCs w:val="32"/>
          <w:lang w:val="en-US" w:eastAsia="zh-CN" w:bidi="ar-SA"/>
        </w:rPr>
      </w:pPr>
      <w:r>
        <w:rPr>
          <w:rFonts w:hint="eastAsia" w:ascii="仿宋_GB2312" w:hAnsi="宋体" w:eastAsia="仿宋_GB2312" w:cs="仿宋_GB2312"/>
          <w:i w:val="0"/>
          <w:caps w:val="0"/>
          <w:color w:val="000000"/>
          <w:spacing w:val="0"/>
          <w:kern w:val="0"/>
          <w:sz w:val="32"/>
          <w:szCs w:val="32"/>
          <w:lang w:val="en-US" w:eastAsia="zh-CN" w:bidi="ar-SA"/>
        </w:rPr>
        <w:br w:type="page"/>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caps w:val="0"/>
          <w:color w:val="000000"/>
          <w:spacing w:val="0"/>
          <w:sz w:val="18"/>
          <w:szCs w:val="18"/>
        </w:rPr>
      </w:pPr>
      <w:r>
        <w:rPr>
          <w:rFonts w:ascii="黑体" w:hAnsi="宋体" w:eastAsia="黑体" w:cs="黑体"/>
          <w:i w:val="0"/>
          <w:caps w:val="0"/>
          <w:color w:val="000000"/>
          <w:spacing w:val="0"/>
          <w:kern w:val="0"/>
          <w:sz w:val="32"/>
          <w:szCs w:val="32"/>
          <w:lang w:val="en-US" w:eastAsia="zh-CN" w:bidi="ar-SA"/>
        </w:rPr>
        <w:t>一、概述</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2015年大兴区水务局根据区政府办工作要求，加强领导，狠抓落实，积极开展政府</w:t>
      </w:r>
      <w:bookmarkStart w:id="0" w:name="_GoBack"/>
      <w:bookmarkEnd w:id="0"/>
      <w:r>
        <w:rPr>
          <w:rFonts w:hint="eastAsia" w:ascii="仿宋_GB2312" w:hAnsi="宋体" w:eastAsia="仿宋_GB2312" w:cs="仿宋_GB2312"/>
          <w:i w:val="0"/>
          <w:caps w:val="0"/>
          <w:color w:val="000000"/>
          <w:spacing w:val="0"/>
          <w:kern w:val="0"/>
          <w:sz w:val="32"/>
          <w:szCs w:val="32"/>
          <w:lang w:val="en-US" w:eastAsia="zh-CN" w:bidi="ar-SA"/>
        </w:rPr>
        <w:t>信息公开工作。成立水务局政府信息公开工作领导小组，明确主管领导，并指定专人负责具体工作。结合本单位工作实际，完善了《政府信息公开工作清理制度》、《政府信息公开保密审查制度》、《政府信息依申请公开工作制度》等，进一步规范了工作的开展。年初召开专题会议，部署全年工作，做到年初有计划，年终有总结；先后采取组织专题会、向科室发放材料等方式加强对《政府信息公开条例》等文件的学习，为开展信息公开日常工作奠定了良好基础。进一步完善了信息保密审查机制，所有信息必须签订保密审查单，经主管领导审查通过后方可公开，确保公开信息做到先审查后公开。规范性文件按照要求到法制办报审并及时移送到档案局。</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黑体" w:hAnsi="宋体" w:eastAsia="黑体" w:cs="黑体"/>
          <w:i w:val="0"/>
          <w:caps w:val="0"/>
          <w:color w:val="000000"/>
          <w:spacing w:val="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2"/>
          <w:szCs w:val="32"/>
          <w:lang w:val="en-US" w:eastAsia="zh-CN" w:bidi="ar-SA"/>
        </w:rPr>
        <w:t>二、主动公开情况</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按照《条例》第9至12条规定的主动公开政府信息范围，本局开展了信息清理和目录编制工作，并按照《条例》第15条规定，通过政府网站等便于公众知晓的方式主动公开。按照《条例》 第16条规定，继续完善区行政服务中心等政府信息公开查阅场所，为公民、法人或者其他组织获取政府信息提供便利。</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宋体" w:hAnsi="宋体" w:eastAsia="宋体" w:cs="宋体"/>
          <w:i w:val="0"/>
          <w:caps w:val="0"/>
          <w:color w:val="000000"/>
          <w:spacing w:val="0"/>
          <w:sz w:val="18"/>
          <w:szCs w:val="18"/>
        </w:rPr>
      </w:pPr>
      <w:r>
        <w:rPr>
          <w:rFonts w:ascii="楷体_GB2312" w:hAnsi="宋体" w:eastAsia="楷体_GB2312" w:cs="楷体_GB2312"/>
          <w:b/>
          <w:i w:val="0"/>
          <w:caps w:val="0"/>
          <w:color w:val="000000"/>
          <w:spacing w:val="0"/>
          <w:kern w:val="0"/>
          <w:sz w:val="32"/>
          <w:szCs w:val="32"/>
          <w:lang w:val="en-US" w:eastAsia="zh-CN" w:bidi="ar-SA"/>
        </w:rPr>
        <w:t>（一）主动公开数据</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2015年主动公开政府信息数202条。其中，机构职能类信息5条，占总数的2.5%；业务动态类信息197条，占总数的97.5%。</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重点领域公开政府信息数38条。其中，主动公开财政预算决算、“三公经费”和行政经费信息数4条；主动公开水务重点工程项目基本信息以及进展情况5条；主动公开细化行政审批事项29条。</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通过不同渠道和方式公开政府信息的情况，包括政府网站公开政府信息数170条；政务微博公开政府信息数64条；在《中共水利报》、《大兴报》等报刊发表专题、新闻等二十余篇，大力宣传水务建设。</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宋体" w:hAnsi="宋体" w:eastAsia="宋体" w:cs="宋体"/>
          <w:i w:val="0"/>
          <w:caps w:val="0"/>
          <w:color w:val="000000"/>
          <w:spacing w:val="0"/>
          <w:sz w:val="18"/>
          <w:szCs w:val="18"/>
        </w:rPr>
      </w:pPr>
      <w:r>
        <w:rPr>
          <w:rFonts w:hint="eastAsia" w:ascii="楷体_GB2312" w:hAnsi="宋体" w:eastAsia="楷体_GB2312" w:cs="楷体_GB2312"/>
          <w:b/>
          <w:i w:val="0"/>
          <w:caps w:val="0"/>
          <w:color w:val="000000"/>
          <w:spacing w:val="0"/>
          <w:kern w:val="0"/>
          <w:sz w:val="32"/>
          <w:szCs w:val="32"/>
          <w:lang w:val="en-US" w:eastAsia="zh-CN" w:bidi="ar-SA"/>
        </w:rPr>
        <w:t>（二）回应解读情况</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回应公众关注热点或重大舆情数3次。包括，召开现场宣传会对阶梯水价等重要政策进行解读</w:t>
      </w:r>
      <w:r>
        <w:rPr>
          <w:rFonts w:hint="eastAsia" w:ascii="宋体" w:hAnsi="宋体" w:eastAsia="宋体" w:cs="宋体"/>
          <w:i w:val="0"/>
          <w:caps w:val="0"/>
          <w:color w:val="000000"/>
          <w:spacing w:val="0"/>
          <w:kern w:val="0"/>
          <w:sz w:val="32"/>
          <w:szCs w:val="32"/>
          <w:lang w:val="en-US" w:eastAsia="zh-CN" w:bidi="ar-SA"/>
        </w:rPr>
        <w:t>1</w:t>
      </w:r>
      <w:r>
        <w:rPr>
          <w:rFonts w:hint="eastAsia" w:ascii="仿宋_GB2312" w:hAnsi="宋体" w:eastAsia="仿宋_GB2312" w:cs="仿宋_GB2312"/>
          <w:i w:val="0"/>
          <w:caps w:val="0"/>
          <w:color w:val="000000"/>
          <w:spacing w:val="0"/>
          <w:kern w:val="0"/>
          <w:sz w:val="32"/>
          <w:szCs w:val="32"/>
          <w:lang w:val="en-US" w:eastAsia="zh-CN" w:bidi="ar-SA"/>
        </w:rPr>
        <w:t>次；政策解读稿件发布数1次；微博回应事件数1次。</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黑体" w:hAnsi="宋体" w:eastAsia="黑体" w:cs="黑体"/>
          <w:i w:val="0"/>
          <w:caps w:val="0"/>
          <w:color w:val="000000"/>
          <w:spacing w:val="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2"/>
          <w:szCs w:val="32"/>
          <w:lang w:val="en-US" w:eastAsia="zh-CN" w:bidi="ar-SA"/>
        </w:rPr>
        <w:t>三、依申请公开情况</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按照《条例》第13条规定，本局自《条例》实施之日起正式受理公民、法人或者其他组织根据自身生产、生活、科研等特殊需要提出的政府信息公开申请。为落实《条例》确定的政府信息依申请公开制度，本局继续完善政府信息公开申请受理场所，并公布政府信息公开受理机构的联系方式。</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宋体" w:hAnsi="宋体" w:eastAsia="宋体" w:cs="宋体"/>
          <w:i w:val="0"/>
          <w:caps w:val="0"/>
          <w:color w:val="000000"/>
          <w:spacing w:val="0"/>
          <w:sz w:val="18"/>
          <w:szCs w:val="18"/>
        </w:rPr>
      </w:pPr>
      <w:r>
        <w:rPr>
          <w:rFonts w:hint="eastAsia" w:ascii="楷体_GB2312" w:hAnsi="宋体" w:eastAsia="楷体_GB2312" w:cs="楷体_GB2312"/>
          <w:b/>
          <w:i w:val="0"/>
          <w:caps w:val="0"/>
          <w:color w:val="000000"/>
          <w:spacing w:val="0"/>
          <w:kern w:val="0"/>
          <w:sz w:val="32"/>
          <w:szCs w:val="32"/>
          <w:lang w:val="en-US" w:eastAsia="zh-CN" w:bidi="ar-SA"/>
        </w:rPr>
        <w:t>（一）申请情况</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2015年度，本局未接到政府信息公开申请。</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宋体" w:hAnsi="宋体" w:eastAsia="宋体" w:cs="宋体"/>
          <w:i w:val="0"/>
          <w:caps w:val="0"/>
          <w:color w:val="000000"/>
          <w:spacing w:val="0"/>
          <w:sz w:val="18"/>
          <w:szCs w:val="18"/>
        </w:rPr>
      </w:pPr>
      <w:r>
        <w:rPr>
          <w:rFonts w:hint="eastAsia" w:ascii="楷体_GB2312" w:hAnsi="宋体" w:eastAsia="楷体_GB2312" w:cs="楷体_GB2312"/>
          <w:b/>
          <w:i w:val="0"/>
          <w:caps w:val="0"/>
          <w:color w:val="000000"/>
          <w:spacing w:val="0"/>
          <w:kern w:val="0"/>
          <w:sz w:val="32"/>
          <w:szCs w:val="32"/>
          <w:lang w:val="en-US" w:eastAsia="zh-CN" w:bidi="ar-SA"/>
        </w:rPr>
        <w:t>（二）答复情况</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2015年度，本局未接到政府信息公开申请，无答复内容。</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黑体" w:hAnsi="宋体" w:eastAsia="黑体" w:cs="黑体"/>
          <w:i w:val="0"/>
          <w:caps w:val="0"/>
          <w:color w:val="000000"/>
          <w:spacing w:val="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2"/>
          <w:szCs w:val="32"/>
          <w:lang w:val="en-US" w:eastAsia="zh-CN" w:bidi="ar-SA"/>
        </w:rPr>
        <w:t>四、复议和诉讼情况</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2015年，本局无行政复议或行政诉讼情况。</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黑体" w:hAnsi="宋体" w:eastAsia="黑体" w:cs="黑体"/>
          <w:i w:val="0"/>
          <w:caps w:val="0"/>
          <w:color w:val="000000"/>
          <w:spacing w:val="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2"/>
          <w:szCs w:val="32"/>
          <w:lang w:val="en-US" w:eastAsia="zh-CN" w:bidi="ar-SA"/>
        </w:rPr>
        <w:t>五、存在的不足及改进措施</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2015年，区水务局在政府信息公开工作方面取得了一定成效，但当前信息公开面临着许多新的挑战，特别是微博、微信等网络媒体快速发展，对政府信息的及时准确发布提出了更高的要求。因此，我们的工作还存在一些薄弱环节，需进一步加强。</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1、对政府信息公开干部的培养还需进一步加强。单位内部组织过多次政府信息公开相关培训、学习，但工作人员对《条例》及有关规定缺乏深入理解。2016年，我们将邀请专业人员，结合我们工作中遇到的具体问题进行培训，提高工作人员专业知识水平，确保主动公开信息准确及时，促进信息公开工作的开展。</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2、公开查阅场所建设还需进一步完善。重新修订、印刷本单位《政府信息公开指南》，细化服务标准和工作准则等制度，方便公众查阅政府信息。</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3、完善单位内部信息公开考核评比办法，对优秀科室给予奖励，促进政府信息公开工作的开展。</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4、进一步加大对重点领域政府信息的公开力度，加强对涉及民众切身利益的重要政策措施解读工作。</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3599" w:right="0" w:firstLine="128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 </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3599" w:right="0" w:firstLine="128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 </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3599" w:right="0" w:firstLine="128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北京市大兴区水务局</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4469" w:right="800" w:firstLine="0"/>
        <w:jc w:val="righ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2"/>
          <w:szCs w:val="32"/>
          <w:lang w:val="en-US" w:eastAsia="zh-CN" w:bidi="ar-SA"/>
        </w:rPr>
        <w:t>二</w:t>
      </w:r>
      <w:r>
        <w:rPr>
          <w:rFonts w:hint="eastAsia" w:ascii="宋体" w:hAnsi="宋体" w:eastAsia="宋体" w:cs="宋体"/>
          <w:i w:val="0"/>
          <w:caps w:val="0"/>
          <w:color w:val="000000"/>
          <w:spacing w:val="0"/>
          <w:kern w:val="0"/>
          <w:sz w:val="32"/>
          <w:szCs w:val="32"/>
          <w:lang w:val="en-US" w:eastAsia="zh-CN" w:bidi="ar-SA"/>
        </w:rPr>
        <w:t>〇</w:t>
      </w:r>
      <w:r>
        <w:rPr>
          <w:rFonts w:hint="eastAsia" w:ascii="仿宋_GB2312" w:hAnsi="宋体" w:eastAsia="仿宋_GB2312" w:cs="仿宋_GB2312"/>
          <w:i w:val="0"/>
          <w:caps w:val="0"/>
          <w:color w:val="000000"/>
          <w:spacing w:val="0"/>
          <w:kern w:val="0"/>
          <w:sz w:val="32"/>
          <w:szCs w:val="32"/>
          <w:lang w:val="en-US" w:eastAsia="zh-CN" w:bidi="ar-SA"/>
        </w:rPr>
        <w:t>一六年三月</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exact"/>
        <w:ind w:right="0"/>
        <w:jc w:val="right"/>
        <w:textAlignment w:val="baseline"/>
        <w:outlineLvl w:val="9"/>
        <w:rPr>
          <w:rFonts w:hint="eastAsia" w:ascii="宋体" w:hAnsi="宋体" w:eastAsia="宋体" w:cs="宋体"/>
          <w:i w:val="0"/>
          <w:caps w:val="0"/>
          <w:color w:val="auto"/>
          <w:spacing w:val="0"/>
          <w:sz w:val="18"/>
          <w:szCs w:val="18"/>
          <w:u w:val="none"/>
        </w:rPr>
      </w:pP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right="0"/>
        <w:jc w:val="right"/>
        <w:textAlignment w:val="baseline"/>
        <w:outlineLvl w:val="9"/>
        <w:rPr>
          <w:rFonts w:hint="eastAsia" w:ascii="宋体" w:hAnsi="宋体" w:eastAsia="宋体" w:cs="宋体"/>
          <w:i w:val="0"/>
          <w:caps w:val="0"/>
          <w:color w:val="auto"/>
          <w:spacing w:val="0"/>
          <w:sz w:val="18"/>
          <w:szCs w:val="18"/>
          <w:u w:val="none"/>
        </w:rPr>
      </w:pPr>
    </w:p>
    <w:p>
      <w:pPr>
        <w:widowControl/>
        <w:spacing w:line="560" w:lineRule="exact"/>
        <w:ind w:left="4469" w:leftChars="2128" w:right="800"/>
        <w:jc w:val="right"/>
        <w:rPr>
          <w:rFonts w:ascii="仿宋_GB2312" w:hAnsi="宋体" w:eastAsia="仿宋_GB2312" w:cs="宋体"/>
          <w:color w:val="auto"/>
          <w:kern w:val="0"/>
          <w:sz w:val="32"/>
          <w:szCs w:val="32"/>
        </w:rPr>
      </w:pPr>
    </w:p>
    <w:p>
      <w:pPr>
        <w:spacing w:line="560" w:lineRule="exact"/>
        <w:ind w:firstLine="640" w:firstLineChars="200"/>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br w:type="page"/>
      </w:r>
    </w:p>
    <w:p>
      <w:pPr>
        <w:widowControl/>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560" w:lineRule="atLeast"/>
        <w:ind w:left="0" w:right="0" w:firstLine="640"/>
        <w:jc w:val="left"/>
        <w:textAlignment w:val="baseline"/>
        <w:rPr>
          <w:rFonts w:hint="eastAsia" w:ascii="宋体" w:hAnsi="宋体" w:eastAsia="宋体" w:cs="宋体"/>
          <w:i w:val="0"/>
          <w:caps w:val="0"/>
          <w:color w:val="505050"/>
          <w:spacing w:val="0"/>
          <w:sz w:val="18"/>
          <w:szCs w:val="18"/>
          <w:u w:val="none"/>
        </w:rPr>
      </w:pPr>
      <w:r>
        <w:rPr>
          <w:rFonts w:ascii="黑体" w:hAnsi="宋体" w:eastAsia="黑体" w:cs="黑体"/>
          <w:i w:val="0"/>
          <w:caps w:val="0"/>
          <w:color w:val="505050"/>
          <w:spacing w:val="0"/>
          <w:kern w:val="0"/>
          <w:sz w:val="32"/>
          <w:szCs w:val="32"/>
          <w:u w:val="none"/>
          <w:shd w:val="clear" w:color="auto" w:fill="FFFFFF"/>
          <w:lang w:val="en-US" w:eastAsia="zh-CN" w:bidi="ar-SA"/>
        </w:rPr>
        <w:t>附表：</w:t>
      </w:r>
      <w:r>
        <w:rPr>
          <w:rFonts w:hint="eastAsia" w:ascii="黑体" w:hAnsi="宋体" w:eastAsia="黑体" w:cs="黑体"/>
          <w:i w:val="0"/>
          <w:caps w:val="0"/>
          <w:color w:val="000000"/>
          <w:spacing w:val="0"/>
          <w:kern w:val="0"/>
          <w:sz w:val="32"/>
          <w:szCs w:val="32"/>
          <w:u w:val="none"/>
          <w:shd w:val="clear" w:color="auto" w:fill="FFFFFF"/>
          <w:lang w:val="en-US" w:eastAsia="zh-CN" w:bidi="ar-SA"/>
        </w:rPr>
        <w:t> </w:t>
      </w:r>
    </w:p>
    <w:tbl>
      <w:tblPr>
        <w:tblStyle w:val="13"/>
        <w:tblW w:w="9555" w:type="dxa"/>
        <w:jc w:val="center"/>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01"/>
        <w:gridCol w:w="878"/>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9555" w:type="dxa"/>
            <w:gridSpan w:val="3"/>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ascii="方正小标宋简体" w:hAnsi="方正小标宋简体" w:eastAsia="方正小标宋简体" w:cs="方正小标宋简体"/>
                <w:i w:val="0"/>
                <w:color w:val="000000"/>
                <w:kern w:val="0"/>
                <w:sz w:val="44"/>
                <w:szCs w:val="44"/>
                <w:u w:val="none"/>
                <w:lang w:val="en-US" w:eastAsia="zh-CN" w:bidi="ar-SA"/>
              </w:rPr>
              <w:t>政府信息公开情况统计表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9555" w:type="dxa"/>
            <w:gridSpan w:val="3"/>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ascii="楷体_GB2312" w:hAnsi="Times New Roman" w:eastAsia="楷体_GB2312" w:cs="楷体_GB2312"/>
                <w:i w:val="0"/>
                <w:color w:val="505050"/>
                <w:kern w:val="0"/>
                <w:sz w:val="32"/>
                <w:szCs w:val="32"/>
                <w:u w:val="none"/>
                <w:lang w:val="en-US" w:eastAsia="zh-CN" w:bidi="ar-SA"/>
              </w:rPr>
              <w:t>（2015年度）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黑体" w:hAnsi="宋体" w:eastAsia="黑体" w:cs="黑体"/>
                <w:i w:val="0"/>
                <w:color w:val="000000"/>
                <w:kern w:val="0"/>
                <w:sz w:val="24"/>
                <w:szCs w:val="24"/>
                <w:u w:val="none"/>
                <w:lang w:val="en-US" w:eastAsia="zh-CN" w:bidi="ar-SA"/>
              </w:rPr>
              <w:t>统 计 指 标</w:t>
            </w:r>
          </w:p>
        </w:tc>
        <w:tc>
          <w:tcPr>
            <w:tcW w:w="8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黑体" w:hAnsi="宋体" w:eastAsia="黑体" w:cs="黑体"/>
                <w:i w:val="0"/>
                <w:color w:val="000000"/>
                <w:kern w:val="0"/>
                <w:sz w:val="24"/>
                <w:szCs w:val="24"/>
                <w:u w:val="none"/>
                <w:lang w:val="en-US" w:eastAsia="zh-CN" w:bidi="ar-SA"/>
              </w:rPr>
              <w:t>单位</w:t>
            </w:r>
          </w:p>
        </w:tc>
        <w:tc>
          <w:tcPr>
            <w:tcW w:w="10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黑体" w:hAnsi="宋体" w:eastAsia="黑体" w:cs="黑体"/>
                <w:i w:val="0"/>
                <w:color w:val="000000"/>
                <w:kern w:val="0"/>
                <w:sz w:val="24"/>
                <w:szCs w:val="24"/>
                <w:u w:val="none"/>
                <w:lang w:val="en-US" w:eastAsia="zh-CN" w:bidi="ar-SA"/>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黑体" w:hAnsi="宋体" w:eastAsia="黑体" w:cs="黑体"/>
                <w:i w:val="0"/>
                <w:color w:val="000000"/>
                <w:kern w:val="0"/>
                <w:sz w:val="24"/>
                <w:szCs w:val="24"/>
                <w:u w:val="none"/>
                <w:lang w:val="en-US" w:eastAsia="zh-CN" w:bidi="ar-SA"/>
              </w:rPr>
              <w:t>一、主动公开情况</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宋体" w:hAnsi="宋体" w:eastAsia="宋体" w:cs="宋体"/>
                <w:i w:val="0"/>
                <w:color w:val="000000"/>
                <w:kern w:val="0"/>
                <w:sz w:val="24"/>
                <w:szCs w:val="24"/>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ascii="仿宋_GB2312" w:hAnsi="Times New Roman" w:eastAsia="仿宋_GB2312" w:cs="仿宋_GB2312"/>
                <w:i w:val="0"/>
                <w:color w:val="505050"/>
                <w:kern w:val="0"/>
                <w:sz w:val="24"/>
                <w:szCs w:val="24"/>
                <w:u w:val="none"/>
                <w:lang w:val="en-US" w:eastAsia="zh-CN" w:bidi="ar-SA"/>
              </w:rPr>
              <w:t>  （一）主动公开政府信息数</w:t>
            </w:r>
            <w:r>
              <w:rPr>
                <w:rFonts w:hint="eastAsia" w:ascii="仿宋_GB2312" w:hAnsi="Times New Roman" w:eastAsia="仿宋_GB2312" w:cs="仿宋_GB2312"/>
                <w:i w:val="0"/>
                <w:color w:val="505050"/>
                <w:kern w:val="0"/>
                <w:sz w:val="24"/>
                <w:szCs w:val="24"/>
                <w:u w:val="none"/>
                <w:lang w:val="en-US" w:eastAsia="zh-CN" w:bidi="ar-SA"/>
              </w:rPr>
              <w:br/>
            </w:r>
            <w:r>
              <w:rPr>
                <w:rFonts w:hint="eastAsia" w:ascii="仿宋_GB2312" w:hAnsi="Times New Roman" w:eastAsia="仿宋_GB2312" w:cs="仿宋_GB2312"/>
                <w:i w:val="0"/>
                <w:color w:val="505050"/>
                <w:kern w:val="0"/>
                <w:sz w:val="24"/>
                <w:szCs w:val="24"/>
                <w:u w:val="none"/>
                <w:lang w:val="en-US" w:eastAsia="zh-CN" w:bidi="ar-SA"/>
              </w:rPr>
              <w:t>       （不同渠道和方式公开相同信息计1条）</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其中：主动公开规范性文件数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nil"/>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制发规范性文件总数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76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（二）重点领域公开政府信息数</w:t>
            </w:r>
            <w:r>
              <w:rPr>
                <w:rFonts w:hint="eastAsia" w:ascii="仿宋_GB2312" w:hAnsi="Times New Roman" w:eastAsia="仿宋_GB2312" w:cs="仿宋_GB2312"/>
                <w:i w:val="0"/>
                <w:color w:val="505050"/>
                <w:kern w:val="0"/>
                <w:sz w:val="24"/>
                <w:szCs w:val="24"/>
                <w:u w:val="none"/>
                <w:lang w:val="en-US" w:eastAsia="zh-CN" w:bidi="ar-SA"/>
              </w:rPr>
              <w:br/>
            </w:r>
            <w:r>
              <w:rPr>
                <w:rFonts w:hint="eastAsia" w:ascii="仿宋_GB2312" w:hAnsi="Times New Roman" w:eastAsia="仿宋_GB2312" w:cs="仿宋_GB2312"/>
                <w:i w:val="0"/>
                <w:color w:val="505050"/>
                <w:kern w:val="0"/>
                <w:sz w:val="24"/>
                <w:szCs w:val="24"/>
                <w:u w:val="none"/>
                <w:lang w:val="en-US" w:eastAsia="zh-CN" w:bidi="ar-SA"/>
              </w:rPr>
              <w:t>       （不同渠道和方式公开相同信息计1条）</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其中：主动公开财政预算决算、“三公经费”和行政经费信息数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主动公开保障性安居工程建设计划、项目开工和竣工情况，保障性住房的分配和退出等信息数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主动公开食品安全标准，食品生产经营许可、专项检查整治等信息数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主动公开环境核查审批、环境状况公报和重特大突发环境事件等信息数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主动公开招投标违法违规行为及处理情况、国有资金占控股或者主导地位依法应当招标的项目等信息数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主动公开生产安全事故的政府举措、处置进展、风险预警、防范措施等信息数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主动公开农用地转为建设用地批准、征收集体土地批准、征地公告、征地补偿安置公示、集体土地征收结案等信息数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主动公开政府指导价、政府定价和收费标准调整的项目、价格、依据、执行时间和范围等信息数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主动公开本市企业信用信息系统中的警示信息和良好信息等信息数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主动公开政府部门预算执行审计结果等信息数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主动公开行政机关对与人民群众利益密切相关的公共企事业单位进行监督管理的信息数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主动公开市人民政府决定主动公开的其他信息数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（三）通过不同渠道和方式公开政府信息的情况</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1.政府公报公开政府信息数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2.政府网站公开政府信息数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3.政务微博公开政府信息数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4.政务微信公开政府信息数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5.其他方式公开政府信息数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黑体" w:hAnsi="宋体" w:eastAsia="黑体" w:cs="黑体"/>
                <w:i w:val="0"/>
                <w:color w:val="000000"/>
                <w:kern w:val="0"/>
                <w:sz w:val="24"/>
                <w:szCs w:val="24"/>
                <w:u w:val="none"/>
                <w:lang w:val="en-US" w:eastAsia="zh-CN" w:bidi="ar-SA"/>
              </w:rPr>
              <w:t>二、回应解读情况</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（一）回应公众关注热点或重大舆情数</w:t>
            </w:r>
            <w:r>
              <w:rPr>
                <w:rFonts w:hint="eastAsia" w:ascii="仿宋_GB2312" w:hAnsi="Times New Roman" w:eastAsia="仿宋_GB2312" w:cs="仿宋_GB2312"/>
                <w:i w:val="0"/>
                <w:color w:val="505050"/>
                <w:kern w:val="0"/>
                <w:sz w:val="24"/>
                <w:szCs w:val="24"/>
                <w:u w:val="none"/>
                <w:lang w:val="en-US" w:eastAsia="zh-CN" w:bidi="ar-SA"/>
              </w:rPr>
              <w:br/>
            </w:r>
            <w:r>
              <w:rPr>
                <w:rFonts w:hint="eastAsia" w:ascii="仿宋_GB2312" w:hAnsi="Times New Roman" w:eastAsia="仿宋_GB2312" w:cs="仿宋_GB2312"/>
                <w:i w:val="0"/>
                <w:color w:val="505050"/>
                <w:kern w:val="0"/>
                <w:sz w:val="24"/>
                <w:szCs w:val="24"/>
                <w:u w:val="none"/>
                <w:lang w:val="en-US" w:eastAsia="zh-CN" w:bidi="ar-SA"/>
              </w:rPr>
              <w:t>         （不同方式回应同一热点或舆情计1次）</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（二）通过不同渠道和方式回应解读的情况</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1.参加或举办新闻发布会总次数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其中：主要负责同志参加新闻发布会次数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2.政府网站在线访谈次数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其中：主要负责同志参加政府网站在线访谈次数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3.政策解读稿件发布数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篇</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4.微博微信回应事件数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5.其他方式回应事件数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黑体" w:hAnsi="宋体" w:eastAsia="黑体" w:cs="黑体"/>
                <w:i w:val="0"/>
                <w:color w:val="000000"/>
                <w:kern w:val="0"/>
                <w:sz w:val="24"/>
                <w:szCs w:val="24"/>
                <w:u w:val="none"/>
                <w:lang w:val="en-US" w:eastAsia="zh-CN" w:bidi="ar-SA"/>
              </w:rPr>
              <w:t>三、依申请公开情况</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（一）收到申请数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1.当面申请数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2.传真申请数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3.网络申请数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4.信函申请数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（二）申请办结数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1.按时办结数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2.延期办结数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（三）申请答复数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1.属于已主动公开范围数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2.同意公开答复数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3.同意部分公开答复数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4.不同意公开答复数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其中：涉及国家秘密</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涉及商业秘密</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涉及个人隐私</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2400" w:right="0" w:hanging="240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危及国家安全、公共安全、经济安全和社会稳定</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不是《条例》所指政府信息</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法律法规规定的其他情形</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5.不属于本行政机关公开数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6.申请信息不存在数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7.告知作出更改补充数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8.告知通过其他途径办理数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黑体" w:hAnsi="宋体" w:eastAsia="黑体" w:cs="黑体"/>
                <w:i w:val="0"/>
                <w:color w:val="000000"/>
                <w:kern w:val="0"/>
                <w:sz w:val="24"/>
                <w:szCs w:val="24"/>
                <w:u w:val="none"/>
                <w:lang w:val="en-US" w:eastAsia="zh-CN" w:bidi="ar-SA"/>
              </w:rPr>
              <w:t>四、行政复议数量</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（一）维持具体行政行为数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（二）被依法纠错数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（三）其他情形数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黑体" w:hAnsi="宋体" w:eastAsia="黑体" w:cs="黑体"/>
                <w:i w:val="0"/>
                <w:color w:val="000000"/>
                <w:kern w:val="0"/>
                <w:sz w:val="24"/>
                <w:szCs w:val="24"/>
                <w:u w:val="none"/>
                <w:lang w:val="en-US" w:eastAsia="zh-CN" w:bidi="ar-SA"/>
              </w:rPr>
              <w:t>五、行政诉讼数量</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（一）维持具体行政行为或者驳回原告诉讼请求数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（二）被依法纠错数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（三）其他情形数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黑体" w:hAnsi="宋体" w:eastAsia="黑体" w:cs="黑体"/>
                <w:i w:val="0"/>
                <w:color w:val="000000"/>
                <w:kern w:val="0"/>
                <w:sz w:val="24"/>
                <w:szCs w:val="24"/>
                <w:u w:val="none"/>
                <w:lang w:val="en-US" w:eastAsia="zh-CN" w:bidi="ar-SA"/>
              </w:rPr>
              <w:t>六、举报投诉数量</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4"/>
                <w:szCs w:val="24"/>
                <w:u w:val="none"/>
                <w:lang w:val="en-US" w:eastAsia="zh-CN" w:bidi="ar-SA"/>
              </w:rPr>
              <w:t>件</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黑体" w:hAnsi="宋体" w:eastAsia="黑体" w:cs="黑体"/>
                <w:i w:val="0"/>
                <w:color w:val="000000"/>
                <w:kern w:val="0"/>
                <w:sz w:val="24"/>
                <w:szCs w:val="24"/>
                <w:u w:val="none"/>
                <w:lang w:val="en-US" w:eastAsia="zh-CN" w:bidi="ar-SA"/>
              </w:rPr>
              <w:t>七、依申请公开信息收取的费用</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4"/>
                <w:szCs w:val="24"/>
                <w:u w:val="none"/>
                <w:lang w:val="en-US" w:eastAsia="zh-CN" w:bidi="ar-SA"/>
              </w:rPr>
              <w:t>万元</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黑体" w:hAnsi="宋体" w:eastAsia="黑体" w:cs="黑体"/>
                <w:i w:val="0"/>
                <w:color w:val="000000"/>
                <w:kern w:val="0"/>
                <w:sz w:val="24"/>
                <w:szCs w:val="24"/>
                <w:u w:val="none"/>
                <w:lang w:val="en-US" w:eastAsia="zh-CN" w:bidi="ar-SA"/>
              </w:rPr>
              <w:t>八、机构建设和保障经费情况</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（一）政府信息公开工作专门机构数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个</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（二）设置政府信息公开查阅点数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个</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（三）从事政府信息公开工作人员数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人</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1.专职人员数（不包括政府公报及政府网站工作人员数）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人</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2.兼职人员数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人</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2"/>
                <w:szCs w:val="22"/>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960" w:right="0" w:hanging="96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（四）政府信息公开专项经费（不包括用于政府公报编辑管理及政府网站建设维护等方面的经费）</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万元</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黑体" w:hAnsi="宋体" w:eastAsia="黑体" w:cs="黑体"/>
                <w:i w:val="0"/>
                <w:color w:val="000000"/>
                <w:kern w:val="0"/>
                <w:sz w:val="24"/>
                <w:szCs w:val="24"/>
                <w:u w:val="none"/>
                <w:lang w:val="en-US" w:eastAsia="zh-CN" w:bidi="ar-SA"/>
              </w:rPr>
              <w:t>九、政府信息公开会议和培训情况</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宋体" w:hAnsi="宋体" w:eastAsia="宋体" w:cs="宋体"/>
                <w:i w:val="0"/>
                <w:color w:val="000000"/>
                <w:kern w:val="0"/>
                <w:sz w:val="24"/>
                <w:szCs w:val="24"/>
                <w:u w:val="none"/>
                <w:lang w:val="en-US" w:eastAsia="zh-CN" w:bidi="ar-SA"/>
              </w:rPr>
              <w:t> </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（一）召开政府信息公开工作会议或专题会议数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（二）举办各类培训班数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76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left"/>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  （三）接受培训人员数</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eastAsia" w:ascii="仿宋_GB2312" w:hAnsi="Times New Roman" w:eastAsia="仿宋_GB2312" w:cs="仿宋_GB2312"/>
                <w:i w:val="0"/>
                <w:color w:val="505050"/>
                <w:kern w:val="0"/>
                <w:sz w:val="24"/>
                <w:szCs w:val="24"/>
                <w:u w:val="none"/>
                <w:lang w:val="en-US" w:eastAsia="zh-CN" w:bidi="ar-SA"/>
              </w:rPr>
              <w:t>人次</w:t>
            </w:r>
          </w:p>
        </w:tc>
        <w:tc>
          <w:tcPr>
            <w:tcW w:w="1076"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505050"/>
                <w:u w:val="none"/>
              </w:rPr>
            </w:pPr>
            <w:r>
              <w:rPr>
                <w:rFonts w:hint="default" w:ascii="Times New Roman" w:hAnsi="Times New Roman" w:eastAsia="宋体" w:cs="Times New Roman"/>
                <w:i w:val="0"/>
                <w:color w:val="000000"/>
                <w:kern w:val="0"/>
                <w:sz w:val="22"/>
                <w:szCs w:val="22"/>
                <w:u w:val="none"/>
                <w:lang w:val="en-US" w:eastAsia="zh-CN" w:bidi="ar-SA"/>
              </w:rPr>
              <w:t> </w:t>
            </w:r>
          </w:p>
        </w:tc>
      </w:tr>
    </w:tbl>
    <w:p>
      <w:pPr>
        <w:spacing w:line="560" w:lineRule="exact"/>
        <w:rPr>
          <w:rFonts w:ascii="仿宋_GB2312" w:hAnsi="宋体" w:eastAsia="仿宋_GB2312" w:cs="宋体"/>
          <w:color w:val="auto"/>
          <w:kern w:val="0"/>
          <w:sz w:val="32"/>
          <w:szCs w:val="32"/>
        </w:rPr>
      </w:pPr>
    </w:p>
    <w:sectPr>
      <w:footerReference r:id="rId4" w:type="default"/>
      <w:footerReference r:id="rId5"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汉仪大宋简">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F34FE"/>
    <w:rsid w:val="00011299"/>
    <w:rsid w:val="00011C36"/>
    <w:rsid w:val="0001550B"/>
    <w:rsid w:val="00024A33"/>
    <w:rsid w:val="00030ED2"/>
    <w:rsid w:val="000477DD"/>
    <w:rsid w:val="00061A8B"/>
    <w:rsid w:val="0006724E"/>
    <w:rsid w:val="0008546D"/>
    <w:rsid w:val="00091B5A"/>
    <w:rsid w:val="000934F1"/>
    <w:rsid w:val="00095C94"/>
    <w:rsid w:val="000B0ACE"/>
    <w:rsid w:val="000C3E2E"/>
    <w:rsid w:val="000C4927"/>
    <w:rsid w:val="000D7F41"/>
    <w:rsid w:val="000E18D5"/>
    <w:rsid w:val="000F5455"/>
    <w:rsid w:val="000F57C6"/>
    <w:rsid w:val="00125CE6"/>
    <w:rsid w:val="0013095F"/>
    <w:rsid w:val="00135812"/>
    <w:rsid w:val="00136479"/>
    <w:rsid w:val="001649F9"/>
    <w:rsid w:val="00165D78"/>
    <w:rsid w:val="001770DC"/>
    <w:rsid w:val="001848FD"/>
    <w:rsid w:val="00191E43"/>
    <w:rsid w:val="00193815"/>
    <w:rsid w:val="001969C7"/>
    <w:rsid w:val="00196E0F"/>
    <w:rsid w:val="001A132F"/>
    <w:rsid w:val="001A438D"/>
    <w:rsid w:val="001C335D"/>
    <w:rsid w:val="001D50F7"/>
    <w:rsid w:val="001E0EDB"/>
    <w:rsid w:val="001F1E77"/>
    <w:rsid w:val="0020438B"/>
    <w:rsid w:val="002050C9"/>
    <w:rsid w:val="00214740"/>
    <w:rsid w:val="00215A1F"/>
    <w:rsid w:val="0022012E"/>
    <w:rsid w:val="00220270"/>
    <w:rsid w:val="00234422"/>
    <w:rsid w:val="00263CF6"/>
    <w:rsid w:val="0026751C"/>
    <w:rsid w:val="00267D9B"/>
    <w:rsid w:val="00276839"/>
    <w:rsid w:val="00282A54"/>
    <w:rsid w:val="002A61EF"/>
    <w:rsid w:val="002B3EA2"/>
    <w:rsid w:val="002C6CC3"/>
    <w:rsid w:val="002D25F5"/>
    <w:rsid w:val="002E4D22"/>
    <w:rsid w:val="002F450B"/>
    <w:rsid w:val="00303BA7"/>
    <w:rsid w:val="00312FA6"/>
    <w:rsid w:val="00315E66"/>
    <w:rsid w:val="0032036E"/>
    <w:rsid w:val="00323318"/>
    <w:rsid w:val="0033311E"/>
    <w:rsid w:val="00350B99"/>
    <w:rsid w:val="00364095"/>
    <w:rsid w:val="00373CA6"/>
    <w:rsid w:val="00385552"/>
    <w:rsid w:val="00386739"/>
    <w:rsid w:val="00391E8B"/>
    <w:rsid w:val="00393452"/>
    <w:rsid w:val="00393804"/>
    <w:rsid w:val="003A2DE8"/>
    <w:rsid w:val="003A6A56"/>
    <w:rsid w:val="003C2EA7"/>
    <w:rsid w:val="003C3529"/>
    <w:rsid w:val="003C4B6C"/>
    <w:rsid w:val="003D407B"/>
    <w:rsid w:val="003F0526"/>
    <w:rsid w:val="003F386C"/>
    <w:rsid w:val="0040195E"/>
    <w:rsid w:val="00404D78"/>
    <w:rsid w:val="00430A10"/>
    <w:rsid w:val="0043690A"/>
    <w:rsid w:val="00442F1C"/>
    <w:rsid w:val="00444749"/>
    <w:rsid w:val="00455D1F"/>
    <w:rsid w:val="00460FFB"/>
    <w:rsid w:val="00464DE1"/>
    <w:rsid w:val="00474BE8"/>
    <w:rsid w:val="00474E89"/>
    <w:rsid w:val="00475F51"/>
    <w:rsid w:val="00480EBD"/>
    <w:rsid w:val="004835AE"/>
    <w:rsid w:val="00487674"/>
    <w:rsid w:val="00493506"/>
    <w:rsid w:val="0049714A"/>
    <w:rsid w:val="004B1F88"/>
    <w:rsid w:val="004B22D8"/>
    <w:rsid w:val="004E0C30"/>
    <w:rsid w:val="004E3F3D"/>
    <w:rsid w:val="004E7A7F"/>
    <w:rsid w:val="00500F43"/>
    <w:rsid w:val="005038B7"/>
    <w:rsid w:val="005051AA"/>
    <w:rsid w:val="005119D8"/>
    <w:rsid w:val="00511D6A"/>
    <w:rsid w:val="00552C13"/>
    <w:rsid w:val="00552E76"/>
    <w:rsid w:val="00561B6A"/>
    <w:rsid w:val="00566A85"/>
    <w:rsid w:val="005675C6"/>
    <w:rsid w:val="0057505F"/>
    <w:rsid w:val="00576AA8"/>
    <w:rsid w:val="00590400"/>
    <w:rsid w:val="005904EB"/>
    <w:rsid w:val="005933D4"/>
    <w:rsid w:val="005A43F9"/>
    <w:rsid w:val="005A5BA1"/>
    <w:rsid w:val="005B59E2"/>
    <w:rsid w:val="005C4FC2"/>
    <w:rsid w:val="005C5EB9"/>
    <w:rsid w:val="005D35EC"/>
    <w:rsid w:val="005D38A7"/>
    <w:rsid w:val="005D454A"/>
    <w:rsid w:val="005D70D9"/>
    <w:rsid w:val="005E06C3"/>
    <w:rsid w:val="005E137E"/>
    <w:rsid w:val="005E3B9B"/>
    <w:rsid w:val="005F42E9"/>
    <w:rsid w:val="00610864"/>
    <w:rsid w:val="0062038E"/>
    <w:rsid w:val="006456F4"/>
    <w:rsid w:val="00673972"/>
    <w:rsid w:val="006800C1"/>
    <w:rsid w:val="006806E4"/>
    <w:rsid w:val="0068441C"/>
    <w:rsid w:val="0068740C"/>
    <w:rsid w:val="006B2C55"/>
    <w:rsid w:val="006B7720"/>
    <w:rsid w:val="006D3C9C"/>
    <w:rsid w:val="006F23E2"/>
    <w:rsid w:val="006F7A5F"/>
    <w:rsid w:val="00704AAF"/>
    <w:rsid w:val="00716195"/>
    <w:rsid w:val="007300BC"/>
    <w:rsid w:val="007318B4"/>
    <w:rsid w:val="00732FB8"/>
    <w:rsid w:val="00733332"/>
    <w:rsid w:val="0073390C"/>
    <w:rsid w:val="007440C9"/>
    <w:rsid w:val="00747B06"/>
    <w:rsid w:val="00750D2A"/>
    <w:rsid w:val="00754E59"/>
    <w:rsid w:val="00770AD8"/>
    <w:rsid w:val="00770D5B"/>
    <w:rsid w:val="0077218A"/>
    <w:rsid w:val="007746CC"/>
    <w:rsid w:val="00776C06"/>
    <w:rsid w:val="0078288D"/>
    <w:rsid w:val="007939C3"/>
    <w:rsid w:val="007A1833"/>
    <w:rsid w:val="007B64C6"/>
    <w:rsid w:val="007C71C1"/>
    <w:rsid w:val="007F2536"/>
    <w:rsid w:val="00800AA7"/>
    <w:rsid w:val="00802EFC"/>
    <w:rsid w:val="00804A0A"/>
    <w:rsid w:val="00807928"/>
    <w:rsid w:val="008238B3"/>
    <w:rsid w:val="00824136"/>
    <w:rsid w:val="00830104"/>
    <w:rsid w:val="00845ADF"/>
    <w:rsid w:val="00846086"/>
    <w:rsid w:val="00860E3E"/>
    <w:rsid w:val="00874774"/>
    <w:rsid w:val="00875C8E"/>
    <w:rsid w:val="00896F27"/>
    <w:rsid w:val="008A2B14"/>
    <w:rsid w:val="008A3AC4"/>
    <w:rsid w:val="008C1089"/>
    <w:rsid w:val="008C4AF7"/>
    <w:rsid w:val="008E15A5"/>
    <w:rsid w:val="008E196E"/>
    <w:rsid w:val="008E6450"/>
    <w:rsid w:val="00906445"/>
    <w:rsid w:val="00910CBB"/>
    <w:rsid w:val="0092083B"/>
    <w:rsid w:val="00922313"/>
    <w:rsid w:val="0092687B"/>
    <w:rsid w:val="009271F8"/>
    <w:rsid w:val="00931057"/>
    <w:rsid w:val="00932F0F"/>
    <w:rsid w:val="009367A0"/>
    <w:rsid w:val="0094334E"/>
    <w:rsid w:val="009706DE"/>
    <w:rsid w:val="00971C58"/>
    <w:rsid w:val="009746D0"/>
    <w:rsid w:val="0099649A"/>
    <w:rsid w:val="009B3C87"/>
    <w:rsid w:val="009C6833"/>
    <w:rsid w:val="009D2611"/>
    <w:rsid w:val="009D3508"/>
    <w:rsid w:val="009D79B0"/>
    <w:rsid w:val="009E1810"/>
    <w:rsid w:val="009F3F88"/>
    <w:rsid w:val="00A0311A"/>
    <w:rsid w:val="00A1509C"/>
    <w:rsid w:val="00A20BE9"/>
    <w:rsid w:val="00A23A68"/>
    <w:rsid w:val="00A61446"/>
    <w:rsid w:val="00A714B2"/>
    <w:rsid w:val="00A72473"/>
    <w:rsid w:val="00A90797"/>
    <w:rsid w:val="00AD5E1D"/>
    <w:rsid w:val="00AD6B74"/>
    <w:rsid w:val="00AE73D2"/>
    <w:rsid w:val="00AF39B8"/>
    <w:rsid w:val="00AF7359"/>
    <w:rsid w:val="00B06294"/>
    <w:rsid w:val="00B128C1"/>
    <w:rsid w:val="00B13752"/>
    <w:rsid w:val="00B15089"/>
    <w:rsid w:val="00B56E66"/>
    <w:rsid w:val="00B72A12"/>
    <w:rsid w:val="00B92952"/>
    <w:rsid w:val="00BA1750"/>
    <w:rsid w:val="00BA778C"/>
    <w:rsid w:val="00BB329A"/>
    <w:rsid w:val="00BC336D"/>
    <w:rsid w:val="00BC3B1C"/>
    <w:rsid w:val="00BD0DF3"/>
    <w:rsid w:val="00BD4C14"/>
    <w:rsid w:val="00BE61C1"/>
    <w:rsid w:val="00C008B5"/>
    <w:rsid w:val="00C127B0"/>
    <w:rsid w:val="00C1318D"/>
    <w:rsid w:val="00C2000A"/>
    <w:rsid w:val="00C215C0"/>
    <w:rsid w:val="00C21AD9"/>
    <w:rsid w:val="00C32DA8"/>
    <w:rsid w:val="00C33A95"/>
    <w:rsid w:val="00C53895"/>
    <w:rsid w:val="00C66BED"/>
    <w:rsid w:val="00C70936"/>
    <w:rsid w:val="00C9001A"/>
    <w:rsid w:val="00C92922"/>
    <w:rsid w:val="00C967D6"/>
    <w:rsid w:val="00CB5530"/>
    <w:rsid w:val="00CC1169"/>
    <w:rsid w:val="00CC6F1F"/>
    <w:rsid w:val="00CD2247"/>
    <w:rsid w:val="00CD70A9"/>
    <w:rsid w:val="00CD7AAA"/>
    <w:rsid w:val="00CE7AA8"/>
    <w:rsid w:val="00CE7B1B"/>
    <w:rsid w:val="00CF1B2B"/>
    <w:rsid w:val="00D03C7D"/>
    <w:rsid w:val="00D14DEE"/>
    <w:rsid w:val="00D22E11"/>
    <w:rsid w:val="00D23DCC"/>
    <w:rsid w:val="00D27104"/>
    <w:rsid w:val="00D35E05"/>
    <w:rsid w:val="00D52A19"/>
    <w:rsid w:val="00D61FDB"/>
    <w:rsid w:val="00D622F1"/>
    <w:rsid w:val="00D748D2"/>
    <w:rsid w:val="00D85444"/>
    <w:rsid w:val="00DA26B0"/>
    <w:rsid w:val="00DB6223"/>
    <w:rsid w:val="00DC28AE"/>
    <w:rsid w:val="00DC3D8E"/>
    <w:rsid w:val="00DD0601"/>
    <w:rsid w:val="00DE49A7"/>
    <w:rsid w:val="00DE52B6"/>
    <w:rsid w:val="00DF0BD8"/>
    <w:rsid w:val="00DF4EBD"/>
    <w:rsid w:val="00E02AE0"/>
    <w:rsid w:val="00E034E9"/>
    <w:rsid w:val="00E112FE"/>
    <w:rsid w:val="00E128C4"/>
    <w:rsid w:val="00E20708"/>
    <w:rsid w:val="00E20935"/>
    <w:rsid w:val="00E219EF"/>
    <w:rsid w:val="00E32008"/>
    <w:rsid w:val="00E450FC"/>
    <w:rsid w:val="00E653B7"/>
    <w:rsid w:val="00E71476"/>
    <w:rsid w:val="00E74F2C"/>
    <w:rsid w:val="00E90178"/>
    <w:rsid w:val="00EA0880"/>
    <w:rsid w:val="00EA4E95"/>
    <w:rsid w:val="00EB1F9C"/>
    <w:rsid w:val="00ED2876"/>
    <w:rsid w:val="00ED2A5C"/>
    <w:rsid w:val="00ED3380"/>
    <w:rsid w:val="00EE462E"/>
    <w:rsid w:val="00EF142A"/>
    <w:rsid w:val="00EF398F"/>
    <w:rsid w:val="00EF3F47"/>
    <w:rsid w:val="00EF52CD"/>
    <w:rsid w:val="00F025FD"/>
    <w:rsid w:val="00F2797D"/>
    <w:rsid w:val="00F32436"/>
    <w:rsid w:val="00F32D9A"/>
    <w:rsid w:val="00F34CEC"/>
    <w:rsid w:val="00F401B1"/>
    <w:rsid w:val="00F438C0"/>
    <w:rsid w:val="00F60F29"/>
    <w:rsid w:val="00F95C81"/>
    <w:rsid w:val="00FB3A68"/>
    <w:rsid w:val="00FB481B"/>
    <w:rsid w:val="00FC27C7"/>
    <w:rsid w:val="00FE5955"/>
    <w:rsid w:val="00FE759B"/>
    <w:rsid w:val="00FF0E63"/>
    <w:rsid w:val="00FF34FE"/>
    <w:rsid w:val="01120E30"/>
    <w:rsid w:val="01624D56"/>
    <w:rsid w:val="02AA27FE"/>
    <w:rsid w:val="03D8775E"/>
    <w:rsid w:val="08A34DB8"/>
    <w:rsid w:val="0A8C015C"/>
    <w:rsid w:val="0AD9081C"/>
    <w:rsid w:val="0B12018E"/>
    <w:rsid w:val="0B66465E"/>
    <w:rsid w:val="0D585376"/>
    <w:rsid w:val="0DB75A3A"/>
    <w:rsid w:val="109454B9"/>
    <w:rsid w:val="10AD6564"/>
    <w:rsid w:val="138C6520"/>
    <w:rsid w:val="142811C0"/>
    <w:rsid w:val="144968D3"/>
    <w:rsid w:val="15C87DC2"/>
    <w:rsid w:val="16BA085C"/>
    <w:rsid w:val="16FA16C0"/>
    <w:rsid w:val="18413079"/>
    <w:rsid w:val="1B427DC5"/>
    <w:rsid w:val="1B446B4C"/>
    <w:rsid w:val="1C814554"/>
    <w:rsid w:val="1F406932"/>
    <w:rsid w:val="248248B2"/>
    <w:rsid w:val="26981B61"/>
    <w:rsid w:val="27A95222"/>
    <w:rsid w:val="28E14F1E"/>
    <w:rsid w:val="2E980781"/>
    <w:rsid w:val="2EA46394"/>
    <w:rsid w:val="2FB03680"/>
    <w:rsid w:val="2FC9484D"/>
    <w:rsid w:val="33B07107"/>
    <w:rsid w:val="34AB390B"/>
    <w:rsid w:val="37717860"/>
    <w:rsid w:val="38EB0B8C"/>
    <w:rsid w:val="3DCB5805"/>
    <w:rsid w:val="3DF52EB3"/>
    <w:rsid w:val="428D1606"/>
    <w:rsid w:val="43A81807"/>
    <w:rsid w:val="481074F6"/>
    <w:rsid w:val="488F7D4C"/>
    <w:rsid w:val="4AD04A4B"/>
    <w:rsid w:val="4B2B56E4"/>
    <w:rsid w:val="50FC032F"/>
    <w:rsid w:val="52C36155"/>
    <w:rsid w:val="57D80106"/>
    <w:rsid w:val="5B4403C8"/>
    <w:rsid w:val="5E20787C"/>
    <w:rsid w:val="60867FEA"/>
    <w:rsid w:val="61FE23E9"/>
    <w:rsid w:val="62AF2178"/>
    <w:rsid w:val="632131B2"/>
    <w:rsid w:val="63754E3A"/>
    <w:rsid w:val="63B26097"/>
    <w:rsid w:val="67243168"/>
    <w:rsid w:val="69185D7B"/>
    <w:rsid w:val="73D60E1C"/>
    <w:rsid w:val="78133997"/>
    <w:rsid w:val="7BB00E39"/>
    <w:rsid w:val="7D3F394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unhideWhenUsed/>
    <w:qFormat/>
    <w:uiPriority w:val="1"/>
    <w:rPr>
      <w:rFonts w:ascii="Tahoma" w:hAnsi="Tahoma"/>
      <w:b/>
      <w:sz w:val="24"/>
    </w:rPr>
  </w:style>
  <w:style w:type="table" w:default="1" w:styleId="13">
    <w:name w:val="Normal Table"/>
    <w:unhideWhenUsed/>
    <w:qFormat/>
    <w:uiPriority w:val="99"/>
    <w:tblPr>
      <w:tblStyle w:val="13"/>
      <w:tblLayout w:type="fixed"/>
      <w:tblCellMar>
        <w:top w:w="0" w:type="dxa"/>
        <w:left w:w="108" w:type="dxa"/>
        <w:bottom w:w="0" w:type="dxa"/>
        <w:right w:w="108" w:type="dxa"/>
      </w:tblCellMar>
    </w:tblPr>
    <w:tcPr>
      <w:textDirection w:val="lrTb"/>
    </w:tcPr>
  </w:style>
  <w:style w:type="paragraph" w:styleId="2">
    <w:name w:val="Document Map"/>
    <w:basedOn w:val="1"/>
    <w:semiHidden/>
    <w:qFormat/>
    <w:uiPriority w:val="0"/>
    <w:pPr>
      <w:shd w:val="clear" w:color="auto" w:fill="000080"/>
    </w:pPr>
  </w:style>
  <w:style w:type="paragraph" w:styleId="3">
    <w:name w:val="Body Text"/>
    <w:basedOn w:val="1"/>
    <w:qFormat/>
    <w:uiPriority w:val="0"/>
    <w:pPr>
      <w:suppressAutoHyphens/>
      <w:jc w:val="center"/>
    </w:pPr>
    <w:rPr>
      <w:rFonts w:ascii="方正小标宋简体" w:hAnsi="汉仪大宋简" w:eastAsia="方正小标宋简体"/>
      <w:color w:val="000000"/>
      <w:kern w:val="0"/>
      <w:sz w:val="44"/>
      <w:szCs w:val="20"/>
    </w:rPr>
  </w:style>
  <w:style w:type="paragraph" w:styleId="4">
    <w:name w:val="Body Text Indent"/>
    <w:basedOn w:val="1"/>
    <w:qFormat/>
    <w:uiPriority w:val="0"/>
    <w:pPr>
      <w:ind w:firstLine="600" w:firstLineChars="200"/>
    </w:pPr>
    <w:rPr>
      <w:rFonts w:ascii="仿宋_GB2312" w:hAnsi="Times New Roman" w:eastAsia="仿宋_GB2312" w:cs="仿宋_GB2312"/>
      <w:sz w:val="30"/>
      <w:szCs w:val="3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 Char Char Char Char Char Char Char Char Char Char Char Char"/>
    <w:basedOn w:val="2"/>
    <w:link w:val="9"/>
    <w:qFormat/>
    <w:uiPriority w:val="0"/>
    <w:pPr>
      <w:adjustRightInd w:val="0"/>
      <w:spacing w:line="436" w:lineRule="exact"/>
      <w:ind w:left="357"/>
      <w:jc w:val="left"/>
      <w:outlineLvl w:val="3"/>
    </w:pPr>
    <w:rPr>
      <w:rFonts w:ascii="Tahoma" w:hAnsi="Tahoma"/>
      <w:b/>
      <w:sz w:val="24"/>
    </w:rPr>
  </w:style>
  <w:style w:type="character" w:styleId="11">
    <w:name w:val="page number"/>
    <w:basedOn w:val="9"/>
    <w:qFormat/>
    <w:uiPriority w:val="0"/>
    <w:rPr/>
  </w:style>
  <w:style w:type="character" w:styleId="12">
    <w:name w:val="Hyperlink"/>
    <w:basedOn w:val="9"/>
    <w:uiPriority w:val="0"/>
    <w:rPr>
      <w:color w:val="0000FF"/>
      <w:u w:val="single"/>
    </w:rPr>
  </w:style>
  <w:style w:type="paragraph" w:customStyle="1" w:styleId="14">
    <w:name w:val="Char Char Char Char"/>
    <w:basedOn w:val="2"/>
    <w:qFormat/>
    <w:uiPriority w:val="0"/>
    <w:pPr>
      <w:adjustRightInd w:val="0"/>
      <w:spacing w:line="436" w:lineRule="exact"/>
      <w:ind w:left="357"/>
      <w:jc w:val="left"/>
      <w:outlineLvl w:val="3"/>
    </w:pPr>
    <w:rPr>
      <w:rFonts w:ascii="Tahoma" w:hAnsi="Tahoma"/>
      <w:b/>
      <w:sz w:val="24"/>
    </w:rPr>
  </w:style>
  <w:style w:type="paragraph" w:customStyle="1" w:styleId="15">
    <w:name w:val="Char Char Char1 Char Char Char Char"/>
    <w:basedOn w:val="2"/>
    <w:qFormat/>
    <w:uiPriority w:val="0"/>
    <w:pPr>
      <w:adjustRightInd w:val="0"/>
      <w:spacing w:line="436" w:lineRule="exact"/>
      <w:ind w:left="357"/>
      <w:jc w:val="left"/>
      <w:outlineLvl w:val="3"/>
    </w:pPr>
    <w:rPr>
      <w:rFonts w:ascii="Tahoma" w:hAnsi="Tahoma"/>
      <w:b/>
      <w:sz w:val="24"/>
    </w:rPr>
  </w:style>
  <w:style w:type="paragraph" w:customStyle="1" w:styleId="16">
    <w:name w:val="Char Char1 Char Char Char Char Char Char"/>
    <w:basedOn w:val="2"/>
    <w:qFormat/>
    <w:uiPriority w:val="0"/>
    <w:pPr>
      <w:adjustRightInd w:val="0"/>
      <w:spacing w:line="436" w:lineRule="exact"/>
      <w:ind w:left="357"/>
      <w:jc w:val="left"/>
      <w:outlineLvl w:val="3"/>
    </w:pPr>
    <w:rPr>
      <w:rFonts w:ascii="Tahoma" w:hAnsi="Tahoma"/>
      <w:b/>
      <w:sz w:val="24"/>
      <w:szCs w:val="32"/>
    </w:rPr>
  </w:style>
  <w:style w:type="paragraph" w:customStyle="1" w:styleId="17">
    <w:name w:val="Char Char"/>
    <w:basedOn w:val="2"/>
    <w:qFormat/>
    <w:uiPriority w:val="0"/>
    <w:rPr>
      <w:rFonts w:ascii="Tahoma" w:hAnsi="Tahoma"/>
      <w:sz w:val="24"/>
      <w:szCs w:val="20"/>
    </w:rPr>
  </w:style>
  <w:style w:type="paragraph" w:customStyle="1" w:styleId="18">
    <w:name w:val="Char Char Char Char Char Char Char Char Char Char Char Char"/>
    <w:basedOn w:val="2"/>
    <w:qFormat/>
    <w:uiPriority w:val="0"/>
    <w:pPr>
      <w:adjustRightInd w:val="0"/>
      <w:spacing w:line="436" w:lineRule="exact"/>
      <w:ind w:left="357"/>
      <w:jc w:val="left"/>
      <w:outlineLvl w:val="3"/>
    </w:pPr>
    <w:rPr>
      <w:rFonts w:ascii="Tahoma" w:hAnsi="Tahoma"/>
      <w:b/>
      <w:sz w:val="24"/>
    </w:rPr>
  </w:style>
  <w:style w:type="character" w:customStyle="1" w:styleId="19">
    <w:name w:val="页眉 Char"/>
    <w:link w:val="7"/>
    <w:qFormat/>
    <w:uiPriority w:val="0"/>
    <w:rPr>
      <w:kern w:val="2"/>
      <w:sz w:val="18"/>
      <w:szCs w:val="18"/>
    </w:rPr>
  </w:style>
  <w:style w:type="character" w:customStyle="1" w:styleId="20">
    <w:name w:val="font61"/>
    <w:basedOn w:val="9"/>
    <w:qFormat/>
    <w:uiPriority w:val="0"/>
    <w:rPr>
      <w:rFonts w:hint="eastAsia" w:ascii="宋体" w:hAnsi="宋体" w:eastAsia="宋体" w:cs="宋体"/>
      <w:color w:val="000000"/>
      <w:sz w:val="20"/>
      <w:szCs w:val="20"/>
      <w:u w:val="none"/>
    </w:rPr>
  </w:style>
  <w:style w:type="character" w:customStyle="1" w:styleId="21">
    <w:name w:val="font41"/>
    <w:basedOn w:val="9"/>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Company>
  <Pages>9</Pages>
  <Words>633</Words>
  <Characters>3612</Characters>
  <Lines>30</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2016-02-22T09:36:00Z</dcterms:created>
  <dc:creator>ss</dc:creator>
  <cp:lastModifiedBy>大兴区水务局</cp:lastModifiedBy>
  <cp:lastPrinted>2018-01-26T07:04:00Z</cp:lastPrinted>
  <dcterms:modified xsi:type="dcterms:W3CDTF">2020-02-27T00:57:46Z</dcterms:modified>
  <dc:title>北京市200×年××局政府信息公开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