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北京市大兴区财政局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left"/>
        <w:textAlignment w:val="auto"/>
        <w:rPr>
          <w:rFonts w:hint="default" w:ascii="黑体" w:hAnsi="黑体" w:eastAsia="黑体" w:cs="宋体"/>
          <w:spacing w:val="8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区财政局</w:t>
      </w:r>
      <w:r>
        <w:rPr>
          <w:rFonts w:hint="eastAsia" w:ascii="仿宋_GB2312" w:eastAsia="仿宋_GB2312"/>
          <w:sz w:val="32"/>
          <w:szCs w:val="32"/>
        </w:rPr>
        <w:t>认真落实《</w:t>
      </w:r>
      <w:r>
        <w:rPr>
          <w:rFonts w:hint="eastAsia" w:ascii="仿宋_GB2312" w:eastAsia="仿宋_GB2312"/>
          <w:sz w:val="32"/>
          <w:szCs w:val="32"/>
          <w:lang w:eastAsia="zh-CN"/>
        </w:rPr>
        <w:t>大兴区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年政务公开工作要点》（以下简称《要点》），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完善政务服务办事信息公开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大力推进政府信息主动公开、依申请公开，助力深化“放管服”改革、优化营商环境，提升政务公开质量和公开实效。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1.组织领导情况。根据《中华人民共和国信息公开条例》要求，本局制定了政府信息公开各项制度，配备了1名专职工作人员，设立了1个专门的信息申请受理点和公开查阅点。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2.主动公开情况。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年本局政府信息公开工作运行正常，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主动公开政府信息82条，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包括局领导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简介、内设机构、法定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职责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和预决算、双随机、财政资金直达基层等重点领域信息公开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，公众可通过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北京市大兴区人民政府网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各专栏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查询到所有主动公开的信息。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3.依申请公开办理情况。完善本局政府信息公开指南，明确依申请接收渠道、方式。全年共受理依申请公开6件，能够准确引用法条、明确告知法律救济渠道、涉法涉诉情况，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通过对依申请公开的受理，提高了对不同类型政府信息的处理能力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。截止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2021年底，已答复完成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依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申请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公开件，第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6件将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按照工作流程进行</w:t>
      </w:r>
      <w:r>
        <w:rPr>
          <w:rFonts w:hint="eastAsia" w:ascii="仿宋_GB2312" w:eastAsia="仿宋_GB2312" w:cs="仿宋_GB2312"/>
          <w:sz w:val="32"/>
          <w:szCs w:val="32"/>
        </w:rPr>
        <w:t>答复。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4.政府信息管理情况。认真开展政策文件有效性梳理工作；制定完成本年度政务公开全清单；按要求完成《要点》任务，已公开“一业一证”中行政许可相关信息和重点领域相关信息。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政府信息公开平台建设情况。我局注重拓宽政府信息公开渠道，一方面依托区政府网站、财政局门户网站进行公开，另一方面积极沟通协调，主动在《学习强国》、《大兴报》、《大兴信息》等平台公开财政工作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6.教育培训情况。积极参与政务公开业务培训，组织本单位工作人员学习政务公开相关政策文件，规范业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务流程，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提高人员队伍的综合素质和业务能力。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7.监督保障情况。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区财政局</w:t>
      </w:r>
      <w:r>
        <w:rPr>
          <w:rFonts w:hint="eastAsia" w:ascii="仿宋_GB2312" w:eastAsia="仿宋_GB2312"/>
          <w:color w:val="auto"/>
          <w:sz w:val="32"/>
          <w:szCs w:val="32"/>
        </w:rPr>
        <w:t>高度重视，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政务公开纳入本单位工作考核，</w:t>
      </w:r>
      <w:r>
        <w:rPr>
          <w:rFonts w:hint="eastAsia" w:ascii="仿宋_GB2312" w:eastAsia="仿宋_GB2312"/>
          <w:color w:val="auto"/>
          <w:sz w:val="32"/>
          <w:szCs w:val="32"/>
        </w:rPr>
        <w:t>监督相关工作的落实情况，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积极做好</w:t>
      </w:r>
      <w:r>
        <w:rPr>
          <w:rFonts w:hint="eastAsia" w:ascii="仿宋_GB2312" w:eastAsia="仿宋_GB2312"/>
          <w:color w:val="auto"/>
          <w:sz w:val="32"/>
          <w:szCs w:val="32"/>
        </w:rPr>
        <w:t>信息资源的规范化、标准化管理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，推行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《大兴区财政局新闻发言人制度》、《大兴区财政局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政策答疑制度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》等，规范政府信息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及保密审查程序，</w:t>
      </w:r>
      <w:r>
        <w:rPr>
          <w:rFonts w:hint="eastAsia" w:ascii="仿宋_GB2312" w:hAnsi="华文中宋" w:eastAsia="仿宋_GB2312"/>
          <w:sz w:val="32"/>
          <w:szCs w:val="32"/>
        </w:rPr>
        <w:t>做好社会关注热点问题的信息公开工作，更好地满足社会公众对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财政</w:t>
      </w:r>
      <w:r>
        <w:rPr>
          <w:rFonts w:hint="eastAsia" w:ascii="仿宋_GB2312" w:hAnsi="华文中宋" w:eastAsia="仿宋_GB2312"/>
          <w:sz w:val="32"/>
          <w:szCs w:val="32"/>
        </w:rPr>
        <w:t>信息公开的需求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tbl>
      <w:tblPr>
        <w:tblStyle w:val="5"/>
        <w:tblpPr w:leftFromText="180" w:rightFromText="180" w:vertAnchor="text" w:horzAnchor="page" w:tblpX="1221" w:tblpY="203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95.6494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5"/>
        <w:tblpPr w:leftFromText="180" w:rightFromText="180" w:vertAnchor="text" w:horzAnchor="page" w:tblpX="1231" w:tblpY="79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distribute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distribute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distribute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distribute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distribute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distribute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distribute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distribute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200" w:firstLineChars="100"/>
              <w:jc w:val="both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我局严格做好政务公开相关工作，目前有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auto"/>
          <w:lang w:val="en-US" w:eastAsia="zh-CN" w:bidi="ar-SA"/>
        </w:rPr>
        <w:t>以下方面工作需要改进：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auto"/>
          <w:lang w:val="en-US" w:eastAsia="zh-CN" w:bidi="ar-SA"/>
        </w:rPr>
        <w:t>一是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提高政府信息公开工作人员业务能力。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今年我局由于轮岗及人员调动，政务信息公开工作人员更新，导致政务工作衔接不紧密，相关业务知识掌握不全面、不深入。下一步我局准备加强队伍建设，加大培训力度，丰富学习形式，提高业务能力。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二是加强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/>
        </w:rPr>
        <w:t>政府信息公开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日常管理工作。继续强化专人负责，明确工作职责，以服务群众为目的，进一步规范政府信息公开工作，确保财政信息公开及时、准确。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我单位发出收费通知的件数和总金额以及实际收取的总金额均为0。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  <w:bookmarkStart w:id="0" w:name="_GoBack"/>
      <w:bookmarkEnd w:id="0"/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/>
    <w:sectPr>
      <w:pgSz w:w="11906" w:h="16838"/>
      <w:pgMar w:top="2098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D11CC7"/>
    <w:multiLevelType w:val="singleLevel"/>
    <w:tmpl w:val="C9D11C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D0298"/>
    <w:rsid w:val="06F7120F"/>
    <w:rsid w:val="0C67013C"/>
    <w:rsid w:val="0FBC1346"/>
    <w:rsid w:val="144C57E9"/>
    <w:rsid w:val="1A244D85"/>
    <w:rsid w:val="1F0C2860"/>
    <w:rsid w:val="21D544E9"/>
    <w:rsid w:val="33497548"/>
    <w:rsid w:val="36624E77"/>
    <w:rsid w:val="3FBE6A0B"/>
    <w:rsid w:val="42021C48"/>
    <w:rsid w:val="42E33425"/>
    <w:rsid w:val="4AD5598B"/>
    <w:rsid w:val="4BA80B2C"/>
    <w:rsid w:val="4FD40936"/>
    <w:rsid w:val="512A3EC6"/>
    <w:rsid w:val="54EF5888"/>
    <w:rsid w:val="596040BD"/>
    <w:rsid w:val="5A3457FD"/>
    <w:rsid w:val="5C442FAA"/>
    <w:rsid w:val="5DC501A5"/>
    <w:rsid w:val="6128480C"/>
    <w:rsid w:val="650D4595"/>
    <w:rsid w:val="683D0298"/>
    <w:rsid w:val="69573D03"/>
    <w:rsid w:val="6BCE0D08"/>
    <w:rsid w:val="6C26572F"/>
    <w:rsid w:val="712542BC"/>
    <w:rsid w:val="76A0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rFonts w:hint="eastAsia" w:ascii="微软雅黑" w:hAnsi="微软雅黑" w:eastAsia="微软雅黑" w:cs="微软雅黑"/>
      <w:b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9">
    <w:name w:val="Emphasis"/>
    <w:basedOn w:val="6"/>
    <w:qFormat/>
    <w:uiPriority w:val="0"/>
    <w:rPr>
      <w:rFonts w:hint="eastAsia" w:ascii="微软雅黑" w:hAnsi="微软雅黑" w:eastAsia="微软雅黑" w:cs="微软雅黑"/>
      <w:i/>
    </w:rPr>
  </w:style>
  <w:style w:type="character" w:styleId="10">
    <w:name w:val="Hyperlink"/>
    <w:basedOn w:val="6"/>
    <w:qFormat/>
    <w:uiPriority w:val="0"/>
    <w:rPr>
      <w:rFonts w:hint="eastAsia" w:ascii="微软雅黑" w:hAnsi="微软雅黑" w:eastAsia="微软雅黑" w:cs="微软雅黑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2021-12-23T02:50:00Z</dcterms:created>
  <dc:creator>财政局公文</dc:creator>
  <cp:lastModifiedBy>政务服务局公文</cp:lastModifiedBy>
  <dcterms:modified xsi:type="dcterms:W3CDTF">2022-01-19T06:28:42Z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E2A364D56192465AB0C0F9EF328DD68D</vt:lpwstr>
  </property>
</Properties>
</file>