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北京市大兴区交通局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1.组织领导情况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2021年，我局积极推进政府信息公开工作，加强组织领导，加大工作力度，建立公开信息前安全审查制度、依申请公开工作制度、政务公开工作人员调整报备制度、新闻发言人制度和政策公开答疑制度等。明确了政府信息公开工作的分管领导、责任科室，并由专人负责此项工作。此外，我局行政处罚和行政许可业务相关科室均有1名负责信息公开工作的信息员，负责本科室的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.主动公开情况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left"/>
        <w:textAlignment w:val="auto"/>
        <w:outlineLvl w:val="9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年度我局政府信息主动公开信息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382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（包含行政处罚和行政许可）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全部严格按照《区交通局公开信息前安全审查制度》和《区交通局政府信息依申请公开工作制度》开展，包含辅助用工招录、双随机、双公示、道路客运班线计划、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公交线路优化调整、农村候车亭修缮更新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等重点领域信息公开，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其中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政务开放日信息3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条。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.依申请公开办理情况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年度我局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新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受理依申请数量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条，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由于本机关不掌握相关政府信息，无法提供，并出具了书面答复告知书，注明诉讼法院及行政机关等法律文书要素，及时进行了答复。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无上年结转政府信息公开申请案件。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.政府信息管理情况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完善健全政务公开各项工作机制，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调整完善了《大兴区交通局政府信息主动公开全清单》，落实政务公开工作要点，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依照《保密法》等相关法律法规要求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确定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制发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文件的公开属性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根据公开属性履行政务公开流程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梳理政策性文件，并将已废止的进行了标注。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.政府信息公开平台建设情况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充分发挥微信公众号优势，结合交通运输工作特点，做好宣传素材信息整合共享和资源利用，进一步增强公开实效，提升了服务水平。组织开展政务开放日活动，并在区政府网站主动公开了活动的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3条信息。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.教育培训情况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年度我局切实加强信息公开力度，强化工作人员的服务意识，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通过参与区政务服务局举办的培训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加强依申请公开工作技能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同时，工作人员多次讨论和研究政务公开工作，提升了政务公开工作水平。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政府信息公开监督保障</w:t>
      </w:r>
    </w:p>
    <w:p>
      <w:pPr>
        <w:pStyle w:val="2"/>
        <w:numPr>
          <w:ilvl w:val="0"/>
          <w:numId w:val="0"/>
        </w:numP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 xml:space="preserve"> 政务公开工作已纳入我局工作考核，并接受第三方评测，及时根据报告进行整改。公开渠道畅通，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保障群众的知情权、参与权和监督权，提升政务公开行政效能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6"/>
        <w:tblpPr w:leftFromText="180" w:rightFromText="180" w:vertAnchor="text" w:horzAnchor="page" w:tblpX="1221" w:tblpY="203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pPr w:leftFromText="180" w:rightFromText="180" w:vertAnchor="text" w:horzAnchor="page" w:tblpX="1231" w:tblpY="7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政务公开工作负责人员流动性大，导致工作连续性低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改进措施：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定期为政务公开工作人员组织举办相关工作培训，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组织认真梳理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北京市政府信息公开工作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要求及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政府公开年度工作要点，提高了工作连续性，保障了日常工作的开展，把工作人员流动性大的影响降到了最低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信息公开内容及形式较为固定且单一，有待进一步完善及丰富。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改进措施：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政务新媒体微信公众号中设置“每日一题”专栏，营造学习执法知识的氛围，增加信息多样性。同时大幅增加主动公开信息条数，本年度在全区中排名前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5，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进一步提升了政务公开工作水平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我单位本年度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>
      <w:pPr>
        <w:widowControl/>
        <w:spacing w:line="56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41C79"/>
    <w:rsid w:val="03464369"/>
    <w:rsid w:val="03531CDC"/>
    <w:rsid w:val="2FC977B0"/>
    <w:rsid w:val="449B2CF1"/>
    <w:rsid w:val="45B0396A"/>
    <w:rsid w:val="46B73E20"/>
    <w:rsid w:val="52D649D8"/>
    <w:rsid w:val="58991B2A"/>
    <w:rsid w:val="5DB04286"/>
    <w:rsid w:val="5FC17F40"/>
    <w:rsid w:val="6447223A"/>
    <w:rsid w:val="764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2022-01-07T08:28:00Z</dcterms:created>
  <dc:creator>交通局公文</dc:creator>
  <cp:lastModifiedBy>shen</cp:lastModifiedBy>
  <cp:lastPrinted>2022-01-10T08:34:00Z</cp:lastPrinted>
  <dcterms:modified xsi:type="dcterms:W3CDTF">2022-01-19T07:11:11Z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