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方正小标宋简体" w:eastAsia="方正小标宋简体" w:cs="方正小标宋简体"/>
          <w:sz w:val="44"/>
          <w:szCs w:val="44"/>
        </w:rPr>
      </w:pPr>
    </w:p>
    <w:p>
      <w:pPr>
        <w:spacing w:line="540" w:lineRule="exact"/>
        <w:jc w:val="center"/>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北京市大兴区高米店街道办事处</w:t>
      </w:r>
    </w:p>
    <w:p>
      <w:pPr>
        <w:spacing w:line="540" w:lineRule="exact"/>
        <w:jc w:val="center"/>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年政府信息公开工作年度报告</w:t>
      </w:r>
    </w:p>
    <w:p>
      <w:pPr>
        <w:spacing w:line="560" w:lineRule="exact"/>
        <w:jc w:val="center"/>
        <w:rPr>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jc w:val="left"/>
        <w:textAlignment w:val="auto"/>
        <w:outlineLvl w:val="0"/>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jc w:val="both"/>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2021年，高米店街道办事处</w:t>
      </w:r>
      <w:r>
        <w:rPr>
          <w:rFonts w:hint="eastAsia" w:ascii="仿宋_GB2312" w:hAnsi="宋体" w:eastAsia="仿宋_GB2312" w:cs="宋体"/>
          <w:spacing w:val="8"/>
          <w:kern w:val="0"/>
          <w:sz w:val="32"/>
          <w:szCs w:val="32"/>
        </w:rPr>
        <w:t>以习近平新时代中国特色社会主义思想为指导，深入贯彻落实党的十九</w:t>
      </w:r>
      <w:r>
        <w:rPr>
          <w:rFonts w:hint="eastAsia" w:ascii="仿宋_GB2312" w:hAnsi="宋体" w:eastAsia="仿宋_GB2312" w:cs="宋体"/>
          <w:spacing w:val="8"/>
          <w:kern w:val="0"/>
          <w:sz w:val="32"/>
          <w:szCs w:val="32"/>
          <w:lang w:eastAsia="zh-CN"/>
        </w:rPr>
        <w:t>大及历次全会</w:t>
      </w:r>
      <w:r>
        <w:rPr>
          <w:rFonts w:hint="eastAsia" w:ascii="仿宋_GB2312" w:hAnsi="宋体" w:eastAsia="仿宋_GB2312" w:cs="宋体"/>
          <w:spacing w:val="8"/>
          <w:kern w:val="0"/>
          <w:sz w:val="32"/>
          <w:szCs w:val="32"/>
        </w:rPr>
        <w:t>精神，</w:t>
      </w:r>
      <w:r>
        <w:rPr>
          <w:rFonts w:hint="eastAsia" w:ascii="仿宋_GB2312" w:hAnsi="宋体" w:eastAsia="仿宋_GB2312" w:cs="宋体"/>
          <w:spacing w:val="8"/>
          <w:kern w:val="0"/>
          <w:sz w:val="32"/>
          <w:szCs w:val="32"/>
          <w:lang w:eastAsia="zh-CN"/>
        </w:rPr>
        <w:t>在上级部门的指导下，</w:t>
      </w:r>
      <w:r>
        <w:rPr>
          <w:rFonts w:hint="eastAsia" w:ascii="仿宋_GB2312" w:hAnsi="宋体" w:eastAsia="仿宋_GB2312" w:cs="宋体"/>
          <w:spacing w:val="8"/>
          <w:kern w:val="0"/>
          <w:sz w:val="32"/>
          <w:szCs w:val="32"/>
        </w:rPr>
        <w:t>认真贯彻落实政务公开</w:t>
      </w:r>
      <w:bookmarkStart w:id="0" w:name="_GoBack"/>
      <w:bookmarkEnd w:id="0"/>
      <w:r>
        <w:rPr>
          <w:rFonts w:hint="eastAsia" w:ascii="仿宋_GB2312" w:hAnsi="宋体" w:eastAsia="仿宋_GB2312" w:cs="宋体"/>
          <w:spacing w:val="8"/>
          <w:kern w:val="0"/>
          <w:sz w:val="32"/>
          <w:szCs w:val="32"/>
        </w:rPr>
        <w:t>工作，强化制度机制建设、</w:t>
      </w:r>
      <w:r>
        <w:rPr>
          <w:rFonts w:hint="eastAsia" w:ascii="仿宋_GB2312" w:hAnsi="宋体" w:eastAsia="仿宋_GB2312" w:cs="宋体"/>
          <w:spacing w:val="8"/>
          <w:kern w:val="0"/>
          <w:sz w:val="32"/>
          <w:szCs w:val="32"/>
          <w:lang w:eastAsia="zh-CN"/>
        </w:rPr>
        <w:t>进一步</w:t>
      </w:r>
      <w:r>
        <w:rPr>
          <w:rFonts w:hint="eastAsia" w:ascii="仿宋_GB2312" w:hAnsi="宋体" w:eastAsia="仿宋_GB2312" w:cs="宋体"/>
          <w:spacing w:val="8"/>
          <w:kern w:val="0"/>
          <w:sz w:val="32"/>
          <w:szCs w:val="32"/>
        </w:rPr>
        <w:t>加强信息发布，增强政务公开质量和实效，提高政府公信力，积极稳妥推进政务公开工作。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75" w:firstLineChars="200"/>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b/>
          <w:bCs/>
          <w:spacing w:val="8"/>
          <w:kern w:val="0"/>
          <w:sz w:val="32"/>
          <w:szCs w:val="32"/>
          <w:lang w:eastAsia="zh-CN"/>
        </w:rPr>
        <w:t>（一）</w:t>
      </w:r>
      <w:r>
        <w:rPr>
          <w:rFonts w:hint="eastAsia" w:ascii="仿宋_GB2312" w:hAnsi="宋体" w:eastAsia="仿宋_GB2312" w:cs="宋体"/>
          <w:b/>
          <w:bCs/>
          <w:spacing w:val="8"/>
          <w:kern w:val="0"/>
          <w:sz w:val="32"/>
          <w:szCs w:val="32"/>
          <w:lang w:val="en-US" w:eastAsia="zh-CN"/>
        </w:rPr>
        <w:t>组织领导情况</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lang w:val="en-US" w:eastAsia="zh-CN"/>
        </w:rPr>
        <w:t>成立以党政正职为双组长，工委副书记、纪工委书记为副组长，其他领导班子为成员的政务公开工作领导小组，专项负责街道政务公开工作。领导小组下设办公室，办公室设在综合办公室，专项负责街道政务公开具体事项。完善工作制度，明确工作职责，做到责任落实到岗，工作落实到人。</w:t>
      </w:r>
    </w:p>
    <w:p>
      <w:pPr>
        <w:keepNext w:val="0"/>
        <w:keepLines w:val="0"/>
        <w:pageBreakBefore w:val="0"/>
        <w:widowControl w:val="0"/>
        <w:kinsoku/>
        <w:wordWrap/>
        <w:overflowPunct/>
        <w:topLinePunct w:val="0"/>
        <w:autoSpaceDE/>
        <w:autoSpaceDN/>
        <w:bidi w:val="0"/>
        <w:adjustRightInd w:val="0"/>
        <w:snapToGrid w:val="0"/>
        <w:spacing w:line="560" w:lineRule="exact"/>
        <w:ind w:firstLine="675" w:firstLineChars="200"/>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b/>
          <w:bCs/>
          <w:spacing w:val="8"/>
          <w:kern w:val="0"/>
          <w:sz w:val="32"/>
          <w:szCs w:val="32"/>
          <w:lang w:eastAsia="zh-CN"/>
        </w:rPr>
        <w:t>（二）</w:t>
      </w:r>
      <w:r>
        <w:rPr>
          <w:rFonts w:hint="eastAsia" w:ascii="仿宋_GB2312" w:hAnsi="宋体" w:eastAsia="仿宋_GB2312" w:cs="宋体"/>
          <w:b/>
          <w:bCs/>
          <w:spacing w:val="8"/>
          <w:kern w:val="0"/>
          <w:sz w:val="32"/>
          <w:szCs w:val="32"/>
          <w:lang w:val="en-US" w:eastAsia="zh-CN"/>
        </w:rPr>
        <w:t>主动公开情况</w:t>
      </w: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val="en-US" w:eastAsia="zh-CN"/>
        </w:rPr>
        <w:t>坚持政府工作公开透明，坚持以公开为常态、不公开为例外，街道工委会议和主任办公会议讨论决定的事项和政策等，除依法、依规需要保密的外均及时公开。</w:t>
      </w:r>
    </w:p>
    <w:p>
      <w:pPr>
        <w:keepNext w:val="0"/>
        <w:keepLines w:val="0"/>
        <w:pageBreakBefore w:val="0"/>
        <w:widowControl w:val="0"/>
        <w:kinsoku/>
        <w:wordWrap/>
        <w:overflowPunct/>
        <w:topLinePunct w:val="0"/>
        <w:autoSpaceDE/>
        <w:autoSpaceDN/>
        <w:bidi w:val="0"/>
        <w:adjustRightInd w:val="0"/>
        <w:snapToGrid w:val="0"/>
        <w:spacing w:line="560" w:lineRule="exact"/>
        <w:ind w:firstLine="675" w:firstLineChars="200"/>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b/>
          <w:bCs/>
          <w:spacing w:val="8"/>
          <w:kern w:val="0"/>
          <w:sz w:val="32"/>
          <w:szCs w:val="32"/>
          <w:lang w:eastAsia="zh-CN"/>
        </w:rPr>
        <w:t>（三）</w:t>
      </w:r>
      <w:r>
        <w:rPr>
          <w:rFonts w:hint="eastAsia" w:ascii="仿宋_GB2312" w:hAnsi="宋体" w:eastAsia="仿宋_GB2312" w:cs="宋体"/>
          <w:b/>
          <w:bCs/>
          <w:spacing w:val="8"/>
          <w:kern w:val="0"/>
          <w:sz w:val="32"/>
          <w:szCs w:val="32"/>
          <w:lang w:val="en-US" w:eastAsia="zh-CN"/>
        </w:rPr>
        <w:t>依申请公开办理情况</w:t>
      </w: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val="en-US" w:eastAsia="zh-CN"/>
        </w:rPr>
        <w:t>街道建立完善各科室依申请的权力清单和责任清单制度，制定详细的申请审批标准流程，明确申请材料、申请条件、办理程序、审批时间等内容要素，在街道及社区公开栏上公示并向社会公开发布，通过在政府网站集中发布依申请公开相关办理流程，针对申请人或企业做好材料上报及审批工作，并接受社会监督，推动依申请公开办理结果的公示。</w:t>
      </w:r>
    </w:p>
    <w:p>
      <w:pPr>
        <w:keepNext w:val="0"/>
        <w:keepLines w:val="0"/>
        <w:pageBreakBefore w:val="0"/>
        <w:widowControl w:val="0"/>
        <w:kinsoku/>
        <w:wordWrap/>
        <w:overflowPunct/>
        <w:topLinePunct w:val="0"/>
        <w:autoSpaceDE/>
        <w:autoSpaceDN/>
        <w:bidi w:val="0"/>
        <w:adjustRightInd w:val="0"/>
        <w:snapToGrid w:val="0"/>
        <w:spacing w:line="560" w:lineRule="exact"/>
        <w:ind w:firstLine="675" w:firstLineChars="200"/>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b/>
          <w:bCs/>
          <w:spacing w:val="8"/>
          <w:kern w:val="0"/>
          <w:sz w:val="32"/>
          <w:szCs w:val="32"/>
          <w:lang w:eastAsia="zh-CN"/>
        </w:rPr>
        <w:t>（四）</w:t>
      </w:r>
      <w:r>
        <w:rPr>
          <w:rFonts w:hint="eastAsia" w:ascii="仿宋_GB2312" w:hAnsi="宋体" w:eastAsia="仿宋_GB2312" w:cs="宋体"/>
          <w:b/>
          <w:bCs/>
          <w:spacing w:val="8"/>
          <w:kern w:val="0"/>
          <w:sz w:val="32"/>
          <w:szCs w:val="32"/>
          <w:lang w:val="en-US" w:eastAsia="zh-CN"/>
        </w:rPr>
        <w:t>政府信息管理情况</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lang w:val="en-US" w:eastAsia="zh-CN"/>
        </w:rPr>
        <w:t>按照“领导抓落实、科室抓教育、工作人员抓学习”的要求，组织召开政务工作培训。保证政务信息工作制度化、规范化、标准化，确保政务信息工作高质量、高标准、高效率，做到全面公开、及时公开。</w:t>
      </w:r>
    </w:p>
    <w:p>
      <w:pPr>
        <w:keepNext w:val="0"/>
        <w:keepLines w:val="0"/>
        <w:pageBreakBefore w:val="0"/>
        <w:widowControl w:val="0"/>
        <w:kinsoku/>
        <w:wordWrap/>
        <w:overflowPunct/>
        <w:topLinePunct w:val="0"/>
        <w:autoSpaceDE/>
        <w:autoSpaceDN/>
        <w:bidi w:val="0"/>
        <w:adjustRightInd w:val="0"/>
        <w:snapToGrid w:val="0"/>
        <w:spacing w:line="560" w:lineRule="exact"/>
        <w:ind w:firstLine="675" w:firstLineChars="200"/>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b/>
          <w:bCs/>
          <w:spacing w:val="8"/>
          <w:kern w:val="0"/>
          <w:sz w:val="32"/>
          <w:szCs w:val="32"/>
          <w:lang w:eastAsia="zh-CN"/>
        </w:rPr>
        <w:t>（五）</w:t>
      </w:r>
      <w:r>
        <w:rPr>
          <w:rFonts w:hint="eastAsia" w:ascii="仿宋_GB2312" w:hAnsi="宋体" w:eastAsia="仿宋_GB2312" w:cs="宋体"/>
          <w:b/>
          <w:bCs/>
          <w:spacing w:val="8"/>
          <w:kern w:val="0"/>
          <w:sz w:val="32"/>
          <w:szCs w:val="32"/>
          <w:lang w:val="en-US" w:eastAsia="zh-CN"/>
        </w:rPr>
        <w:t>政府信息公开平台建设情况</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lang w:val="en-US" w:eastAsia="zh-CN"/>
        </w:rPr>
        <w:t>通过政务公开栏，政府网站、权威网站等载体，将民政、老旧小区改造、政务开放日、综合行政执法、社会治理等相关政务信息千余条。</w:t>
      </w:r>
    </w:p>
    <w:p>
      <w:pPr>
        <w:keepNext w:val="0"/>
        <w:keepLines w:val="0"/>
        <w:pageBreakBefore w:val="0"/>
        <w:widowControl w:val="0"/>
        <w:kinsoku/>
        <w:wordWrap/>
        <w:overflowPunct/>
        <w:topLinePunct w:val="0"/>
        <w:autoSpaceDE/>
        <w:autoSpaceDN/>
        <w:bidi w:val="0"/>
        <w:adjustRightInd w:val="0"/>
        <w:snapToGrid w:val="0"/>
        <w:spacing w:line="560" w:lineRule="exact"/>
        <w:ind w:firstLine="675"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b/>
          <w:bCs/>
          <w:spacing w:val="8"/>
          <w:kern w:val="0"/>
          <w:sz w:val="32"/>
          <w:szCs w:val="32"/>
          <w:lang w:eastAsia="zh-CN"/>
        </w:rPr>
        <w:t>（</w:t>
      </w:r>
      <w:r>
        <w:rPr>
          <w:rFonts w:hint="eastAsia" w:ascii="仿宋_GB2312" w:hAnsi="宋体" w:eastAsia="仿宋_GB2312" w:cs="宋体"/>
          <w:b/>
          <w:bCs/>
          <w:spacing w:val="8"/>
          <w:kern w:val="0"/>
          <w:sz w:val="32"/>
          <w:szCs w:val="32"/>
          <w:lang w:val="en-US" w:eastAsia="zh-CN"/>
        </w:rPr>
        <w:t>六</w:t>
      </w:r>
      <w:r>
        <w:rPr>
          <w:rFonts w:hint="eastAsia" w:ascii="仿宋_GB2312" w:hAnsi="宋体" w:eastAsia="仿宋_GB2312" w:cs="宋体"/>
          <w:b/>
          <w:bCs/>
          <w:spacing w:val="8"/>
          <w:kern w:val="0"/>
          <w:sz w:val="32"/>
          <w:szCs w:val="32"/>
          <w:lang w:eastAsia="zh-CN"/>
        </w:rPr>
        <w:t>）</w:t>
      </w:r>
      <w:r>
        <w:rPr>
          <w:rFonts w:hint="eastAsia" w:ascii="仿宋_GB2312" w:hAnsi="宋体" w:eastAsia="仿宋_GB2312" w:cs="宋体"/>
          <w:b/>
          <w:bCs/>
          <w:spacing w:val="8"/>
          <w:kern w:val="0"/>
          <w:sz w:val="32"/>
          <w:szCs w:val="32"/>
          <w:lang w:val="en-US" w:eastAsia="zh-CN"/>
        </w:rPr>
        <w:t>教育培训情况</w:t>
      </w:r>
      <w:r>
        <w:rPr>
          <w:rFonts w:hint="eastAsia" w:ascii="仿宋_GB2312" w:hAnsi="宋体" w:eastAsia="仿宋_GB2312" w:cs="宋体"/>
          <w:spacing w:val="8"/>
          <w:kern w:val="0"/>
          <w:sz w:val="32"/>
          <w:szCs w:val="32"/>
          <w:lang w:val="en-US" w:eastAsia="zh-CN"/>
        </w:rPr>
        <w:t>。多次参与政务公开业务线上及线下培训活动，高米店街道定期组织办公室学习和研究政务公开，保证政务信息工作制度化、规范化、标准化。</w:t>
      </w:r>
    </w:p>
    <w:p>
      <w:pPr>
        <w:keepNext w:val="0"/>
        <w:keepLines w:val="0"/>
        <w:pageBreakBefore w:val="0"/>
        <w:widowControl w:val="0"/>
        <w:kinsoku/>
        <w:wordWrap/>
        <w:overflowPunct/>
        <w:topLinePunct w:val="0"/>
        <w:autoSpaceDE/>
        <w:autoSpaceDN/>
        <w:bidi w:val="0"/>
        <w:adjustRightInd w:val="0"/>
        <w:snapToGrid w:val="0"/>
        <w:spacing w:line="560" w:lineRule="exact"/>
        <w:ind w:firstLine="675"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宋体" w:eastAsia="仿宋_GB2312" w:cs="宋体"/>
          <w:b/>
          <w:bCs/>
          <w:spacing w:val="8"/>
          <w:kern w:val="0"/>
          <w:sz w:val="32"/>
          <w:szCs w:val="32"/>
          <w:lang w:eastAsia="zh-CN"/>
        </w:rPr>
        <w:t>（</w:t>
      </w:r>
      <w:r>
        <w:rPr>
          <w:rFonts w:hint="eastAsia" w:ascii="仿宋_GB2312" w:hAnsi="宋体" w:eastAsia="仿宋_GB2312" w:cs="宋体"/>
          <w:b/>
          <w:bCs/>
          <w:spacing w:val="8"/>
          <w:kern w:val="0"/>
          <w:sz w:val="32"/>
          <w:szCs w:val="32"/>
          <w:lang w:val="en-US" w:eastAsia="zh-CN"/>
        </w:rPr>
        <w:t>七</w:t>
      </w:r>
      <w:r>
        <w:rPr>
          <w:rFonts w:hint="eastAsia" w:ascii="仿宋_GB2312" w:hAnsi="宋体" w:eastAsia="仿宋_GB2312" w:cs="宋体"/>
          <w:b/>
          <w:bCs/>
          <w:spacing w:val="8"/>
          <w:kern w:val="0"/>
          <w:sz w:val="32"/>
          <w:szCs w:val="32"/>
          <w:lang w:eastAsia="zh-CN"/>
        </w:rPr>
        <w:t>）</w:t>
      </w:r>
      <w:r>
        <w:rPr>
          <w:rFonts w:hint="eastAsia" w:ascii="仿宋_GB2312" w:hAnsi="仿宋_GB2312" w:eastAsia="仿宋_GB2312" w:cs="仿宋_GB2312"/>
          <w:b/>
          <w:bCs/>
          <w:sz w:val="32"/>
          <w:szCs w:val="32"/>
          <w:lang w:val="en-US" w:eastAsia="zh-CN"/>
        </w:rPr>
        <w:t>监督保障情况</w:t>
      </w:r>
      <w:r>
        <w:rPr>
          <w:rFonts w:hint="eastAsia" w:ascii="仿宋_GB2312" w:hAnsi="仿宋_GB2312" w:eastAsia="仿宋_GB2312" w:cs="仿宋_GB2312"/>
          <w:sz w:val="32"/>
          <w:szCs w:val="32"/>
          <w:lang w:val="en-US" w:eastAsia="zh-CN"/>
        </w:rPr>
        <w:t>。</w:t>
      </w:r>
      <w:r>
        <w:rPr>
          <w:rFonts w:hint="eastAsia" w:ascii="仿宋_GB2312" w:hAnsi="宋体" w:eastAsia="仿宋_GB2312" w:cs="宋体"/>
          <w:spacing w:val="8"/>
          <w:kern w:val="0"/>
          <w:sz w:val="32"/>
          <w:szCs w:val="32"/>
          <w:lang w:val="en-US" w:eastAsia="zh-CN"/>
        </w:rPr>
        <w:t>高米店街道政务公开充分接受第三方测评，按照测评结果进行改进。群众建言建议或投诉反馈等及时处理并改善。及时保障公开渠道畅通等。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72" w:firstLineChars="200"/>
        <w:textAlignment w:val="auto"/>
        <w:outlineLvl w:val="0"/>
        <w:rPr>
          <w:rFonts w:hint="eastAsia" w:ascii="黑体" w:hAnsi="黑体" w:eastAsia="黑体" w:cs="黑体"/>
          <w:sz w:val="32"/>
          <w:szCs w:val="32"/>
        </w:rPr>
      </w:pPr>
      <w:r>
        <w:rPr>
          <w:rFonts w:hint="eastAsia" w:ascii="黑体" w:hAnsi="黑体" w:eastAsia="黑体" w:cs="宋体"/>
          <w:spacing w:val="8"/>
          <w:kern w:val="0"/>
          <w:sz w:val="32"/>
          <w:szCs w:val="32"/>
          <w:lang w:eastAsia="zh-CN"/>
        </w:rPr>
        <w:t>二、</w:t>
      </w:r>
      <w:r>
        <w:rPr>
          <w:rFonts w:hint="eastAsia" w:ascii="黑体" w:hAnsi="黑体" w:eastAsia="黑体" w:cs="宋体"/>
          <w:spacing w:val="8"/>
          <w:kern w:val="0"/>
          <w:sz w:val="32"/>
          <w:szCs w:val="32"/>
        </w:rPr>
        <w:t>主动公开政府信息情况</w:t>
      </w:r>
    </w:p>
    <w:tbl>
      <w:tblPr>
        <w:tblStyle w:val="7"/>
        <w:tblpPr w:leftFromText="180" w:rightFromText="180" w:vertAnchor="text" w:horzAnchor="page" w:tblpX="1221" w:tblpY="203"/>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default" w:ascii="宋体" w:eastAsia="宋体"/>
                <w:sz w:val="24"/>
                <w:szCs w:val="24"/>
                <w:lang w:val="en-US" w:eastAsia="zh-CN"/>
              </w:rPr>
            </w:pPr>
            <w:r>
              <w:rPr>
                <w:rFonts w:hint="eastAsia" w:ascii="宋体"/>
                <w:sz w:val="24"/>
                <w:szCs w:val="24"/>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tbl>
      <w:tblPr>
        <w:tblStyle w:val="7"/>
        <w:tblpPr w:leftFromText="180" w:rightFromText="180" w:vertAnchor="text" w:horzAnchor="page" w:tblpX="1231" w:tblpY="79"/>
        <w:tblOverlap w:val="never"/>
        <w:tblW w:w="97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9" w:type="dxa"/>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jc w:val="left"/>
        <w:textAlignment w:val="auto"/>
        <w:outlineLvl w:val="0"/>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72" w:firstLineChars="200"/>
        <w:jc w:val="both"/>
        <w:textAlignment w:val="auto"/>
        <w:outlineLvl w:val="1"/>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（一）存在的主要问题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72" w:firstLineChars="200"/>
        <w:jc w:val="both"/>
        <w:textAlignment w:val="auto"/>
        <w:outlineLvl w:val="9"/>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政务信息公开的工作人员业务水平和能力还需要进一步提高。政务信息及时更新维护有待进一步加强。</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72" w:firstLineChars="200"/>
        <w:jc w:val="both"/>
        <w:textAlignment w:val="auto"/>
        <w:outlineLvl w:val="1"/>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改进情况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72" w:firstLineChars="200"/>
        <w:jc w:val="both"/>
        <w:textAlignment w:val="auto"/>
        <w:outlineLvl w:val="9"/>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一是学习《</w:t>
      </w:r>
      <w:r>
        <w:rPr>
          <w:rFonts w:hint="eastAsia" w:ascii="仿宋_GB2312" w:hAnsi="宋体" w:eastAsia="仿宋_GB2312" w:cs="宋体"/>
          <w:spacing w:val="8"/>
          <w:kern w:val="0"/>
          <w:sz w:val="32"/>
          <w:szCs w:val="32"/>
        </w:rPr>
        <w:t>政府信息公开条例</w:t>
      </w:r>
      <w:r>
        <w:rPr>
          <w:rFonts w:hint="eastAsia" w:ascii="仿宋_GB2312" w:hAnsi="宋体" w:eastAsia="仿宋_GB2312" w:cs="宋体"/>
          <w:spacing w:val="8"/>
          <w:kern w:val="0"/>
          <w:sz w:val="32"/>
          <w:szCs w:val="32"/>
          <w:lang w:val="en-US" w:eastAsia="zh-CN"/>
        </w:rPr>
        <w:t>》，让政府信息公开工作的认识更加全面。深化领悟《</w:t>
      </w:r>
      <w:r>
        <w:rPr>
          <w:rFonts w:hint="eastAsia" w:ascii="仿宋_GB2312" w:hAnsi="宋体" w:eastAsia="仿宋_GB2312" w:cs="宋体"/>
          <w:spacing w:val="8"/>
          <w:kern w:val="0"/>
          <w:sz w:val="32"/>
          <w:szCs w:val="32"/>
        </w:rPr>
        <w:t>政府信息公开条例</w:t>
      </w:r>
      <w:r>
        <w:rPr>
          <w:rFonts w:hint="eastAsia" w:ascii="仿宋_GB2312" w:hAnsi="宋体" w:eastAsia="仿宋_GB2312" w:cs="宋体"/>
          <w:spacing w:val="8"/>
          <w:kern w:val="0"/>
          <w:sz w:val="32"/>
          <w:szCs w:val="32"/>
          <w:lang w:val="en-US" w:eastAsia="zh-CN"/>
        </w:rPr>
        <w:t>》精神，把《</w:t>
      </w:r>
      <w:r>
        <w:rPr>
          <w:rFonts w:hint="eastAsia" w:ascii="仿宋_GB2312" w:hAnsi="宋体" w:eastAsia="仿宋_GB2312" w:cs="宋体"/>
          <w:spacing w:val="8"/>
          <w:kern w:val="0"/>
          <w:sz w:val="32"/>
          <w:szCs w:val="32"/>
        </w:rPr>
        <w:t>政府信息公开条例</w:t>
      </w:r>
      <w:r>
        <w:rPr>
          <w:rFonts w:hint="eastAsia" w:ascii="仿宋_GB2312" w:hAnsi="宋体" w:eastAsia="仿宋_GB2312" w:cs="宋体"/>
          <w:spacing w:val="8"/>
          <w:kern w:val="0"/>
          <w:sz w:val="32"/>
          <w:szCs w:val="32"/>
          <w:lang w:val="en-US" w:eastAsia="zh-CN"/>
        </w:rPr>
        <w:t>》的要求融入日常工作中。增加信息公开工作人员的业务培训，提高业务水平。二是进一步规范工作流程，梳理好所掌握的政务信息，及时更新，定期维护，主动公开做到随有随发，不积攒。确保政务信息的公开，能使公众更加及时和便捷的查询。</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jc w:val="left"/>
        <w:textAlignment w:val="auto"/>
        <w:outlineLvl w:val="0"/>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pStyle w:val="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textAlignment w:val="auto"/>
        <w:outlineLvl w:val="9"/>
      </w:pPr>
      <w:r>
        <w:rPr>
          <w:rFonts w:hint="eastAsia" w:ascii="仿宋_GB2312" w:hAnsi="仿宋_GB2312" w:eastAsia="仿宋_GB2312" w:cs="仿宋_GB2312"/>
          <w:color w:val="auto"/>
          <w:kern w:val="2"/>
          <w:sz w:val="32"/>
          <w:szCs w:val="32"/>
          <w:lang w:val="en-US" w:eastAsia="zh-CN" w:bidi="ar-SA"/>
        </w:rPr>
        <w:t>我单位本年度发出收费通知的件数和总金额以及实际收取的总金额均为0。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28CA81-7655-4610-9448-D3652A509A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7E694F9-27A1-4395-89D9-B330EDD60729}"/>
  </w:font>
  <w:font w:name="方正小标宋简体">
    <w:panose1 w:val="02000000000000000000"/>
    <w:charset w:val="86"/>
    <w:family w:val="auto"/>
    <w:pitch w:val="default"/>
    <w:sig w:usb0="00000001" w:usb1="08000000" w:usb2="00000000" w:usb3="00000000" w:csb0="00040000" w:csb1="00000000"/>
    <w:embedRegular r:id="rId3" w:fontKey="{146FD470-6182-4F8B-B8E9-317D95459C9E}"/>
  </w:font>
  <w:font w:name="仿宋_GB2312">
    <w:altName w:val="仿宋"/>
    <w:panose1 w:val="02010609030101010101"/>
    <w:charset w:val="86"/>
    <w:family w:val="modern"/>
    <w:pitch w:val="default"/>
    <w:sig w:usb0="00000000" w:usb1="00000000" w:usb2="00000000" w:usb3="00000000" w:csb0="00040000" w:csb1="00000000"/>
    <w:embedRegular r:id="rId4" w:fontKey="{C63697B6-E340-4D94-B318-4FA5FA345A09}"/>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5" w:fontKey="{723E8569-B591-4977-8AB9-E4F34583A88A}"/>
  </w:font>
  <w:font w:name="楷体">
    <w:panose1 w:val="02010609060101010101"/>
    <w:charset w:val="86"/>
    <w:family w:val="modern"/>
    <w:pitch w:val="default"/>
    <w:sig w:usb0="800002BF" w:usb1="38CF7CFA" w:usb2="00000016" w:usb3="00000000" w:csb0="00040001" w:csb1="00000000"/>
    <w:embedRegular r:id="rId6" w:fontKey="{14B5BC3C-CA75-4497-BAF5-72289D31B8A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5C5EF5"/>
    <w:multiLevelType w:val="singleLevel"/>
    <w:tmpl w:val="A85C5EF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DEzMjhjYzAyOGQ2M2M1OWQ1ODAyZTg4N2UwN2UifQ=="/>
  </w:docVars>
  <w:rsids>
    <w:rsidRoot w:val="38133D9C"/>
    <w:rsid w:val="0ABE70D6"/>
    <w:rsid w:val="0B390599"/>
    <w:rsid w:val="21F71B74"/>
    <w:rsid w:val="285A4939"/>
    <w:rsid w:val="29DF630F"/>
    <w:rsid w:val="32270449"/>
    <w:rsid w:val="32C93A52"/>
    <w:rsid w:val="38133D9C"/>
    <w:rsid w:val="3D592FEA"/>
    <w:rsid w:val="63CC7CD3"/>
    <w:rsid w:val="6B833F19"/>
    <w:rsid w:val="6FFE4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Plain Text"/>
    <w:basedOn w:val="1"/>
    <w:qFormat/>
    <w:uiPriority w:val="0"/>
    <w:rPr>
      <w:rFonts w:ascii="宋体" w:hAnsi="Courier New"/>
    </w:rPr>
  </w:style>
  <w:style w:type="paragraph" w:styleId="4">
    <w:name w:val="Body Text Indent 2"/>
    <w:basedOn w:val="1"/>
    <w:qFormat/>
    <w:uiPriority w:val="0"/>
    <w:pPr>
      <w:spacing w:after="12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2087</Words>
  <Characters>2114</Characters>
  <Lines>0</Lines>
  <Paragraphs>0</Paragraphs>
  <TotalTime>0</TotalTime>
  <ScaleCrop>false</ScaleCrop>
  <LinksUpToDate>false</LinksUpToDate>
  <CharactersWithSpaces>2139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2022-01-05T03:36:00Z</dcterms:created>
  <dc:creator>张晨</dc:creator>
  <cp:lastModifiedBy>米露露</cp:lastModifiedBy>
  <dcterms:modified xsi:type="dcterms:W3CDTF">2022-09-14T01:16:38Z</dcterms:modified>
  <dc:title>高米店街道办事处2021年政府信息公开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C14C883135704A388CD97EA28D1F4CEC</vt:lpwstr>
  </property>
</Properties>
</file>