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北京市大兴区清源街道办事处</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1</w:t>
      </w:r>
      <w:r>
        <w:rPr>
          <w:rFonts w:hint="eastAsia" w:ascii="方正小标宋简体" w:hAnsi="方正小标宋简体" w:eastAsia="方正小标宋简体" w:cs="方正小标宋简体"/>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both"/>
        <w:textAlignment w:val="auto"/>
        <w:rPr>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outlineLvl w:val="0"/>
        <w:rPr>
          <w:rFonts w:ascii="黑体" w:hAnsi="黑体" w:eastAsia="黑体" w:cs="宋体"/>
          <w:color w:val="auto"/>
          <w:spacing w:val="8"/>
          <w:kern w:val="0"/>
          <w:sz w:val="32"/>
          <w:szCs w:val="32"/>
        </w:rPr>
      </w:pPr>
      <w:r>
        <w:rPr>
          <w:rFonts w:ascii="黑体" w:hAnsi="黑体" w:eastAsia="黑体" w:cs="宋体"/>
          <w:color w:val="auto"/>
          <w:spacing w:val="8"/>
          <w:kern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1.组织领导情况。</w:t>
      </w:r>
      <w:r>
        <w:rPr>
          <w:rFonts w:hint="eastAsia" w:ascii="仿宋_GB2312" w:hAnsi="仿宋_GB2312" w:eastAsia="仿宋_GB2312" w:cs="仿宋_GB2312"/>
          <w:i w:val="0"/>
          <w:caps w:val="0"/>
          <w:color w:val="auto"/>
          <w:spacing w:val="0"/>
          <w:sz w:val="32"/>
          <w:szCs w:val="32"/>
          <w:shd w:val="clear" w:fill="FFFFFF"/>
          <w:lang w:eastAsia="zh-CN"/>
        </w:rPr>
        <w:t>一是</w:t>
      </w:r>
      <w:r>
        <w:rPr>
          <w:rFonts w:hint="eastAsia" w:ascii="仿宋_GB2312" w:hAnsi="仿宋_GB2312" w:eastAsia="仿宋_GB2312" w:cs="仿宋_GB2312"/>
          <w:i w:val="0"/>
          <w:caps w:val="0"/>
          <w:color w:val="auto"/>
          <w:spacing w:val="0"/>
          <w:sz w:val="32"/>
          <w:szCs w:val="32"/>
          <w:shd w:val="clear" w:fill="FFFFFF"/>
        </w:rPr>
        <w:t>加强组织领导，精心部署工作</w:t>
      </w:r>
      <w:r>
        <w:rPr>
          <w:rFonts w:hint="eastAsia" w:ascii="仿宋_GB2312" w:hAnsi="仿宋_GB2312" w:eastAsia="仿宋_GB2312" w:cs="仿宋_GB2312"/>
          <w:i w:val="0"/>
          <w:caps w:val="0"/>
          <w:color w:val="auto"/>
          <w:spacing w:val="0"/>
          <w:sz w:val="32"/>
          <w:szCs w:val="32"/>
          <w:shd w:val="clear" w:fill="FFFFFF"/>
          <w:lang w:eastAsia="zh-CN"/>
        </w:rPr>
        <w:t>，明确本单位政务公开分管领导为街道工委副书记</w:t>
      </w:r>
      <w:r>
        <w:rPr>
          <w:rFonts w:hint="eastAsia" w:ascii="仿宋_GB2312" w:hAnsi="仿宋_GB2312" w:eastAsia="仿宋_GB2312" w:cs="仿宋_GB2312"/>
          <w:i w:val="0"/>
          <w:caps w:val="0"/>
          <w:color w:val="auto"/>
          <w:spacing w:val="0"/>
          <w:sz w:val="32"/>
          <w:szCs w:val="32"/>
          <w:shd w:val="clear" w:fill="FFFFFF"/>
        </w:rPr>
        <w:t>，监管政府信息主动公开和重点信息公开内容涉及范围和质量，</w:t>
      </w:r>
      <w:r>
        <w:rPr>
          <w:rFonts w:hint="eastAsia" w:ascii="仿宋_GB2312" w:hAnsi="仿宋_GB2312" w:eastAsia="仿宋_GB2312" w:cs="仿宋_GB2312"/>
          <w:i w:val="0"/>
          <w:caps w:val="0"/>
          <w:color w:val="auto"/>
          <w:spacing w:val="0"/>
          <w:sz w:val="32"/>
          <w:szCs w:val="32"/>
          <w:shd w:val="clear" w:fill="FFFFFF"/>
          <w:lang w:eastAsia="zh-CN"/>
        </w:rPr>
        <w:t>政务公开工作部门为综合办公室</w:t>
      </w:r>
      <w:r>
        <w:rPr>
          <w:rFonts w:hint="eastAsia" w:ascii="仿宋_GB2312" w:hAnsi="仿宋_GB2312" w:eastAsia="仿宋_GB2312" w:cs="仿宋_GB2312"/>
          <w:i w:val="0"/>
          <w:caps w:val="0"/>
          <w:color w:val="auto"/>
          <w:spacing w:val="0"/>
          <w:sz w:val="32"/>
          <w:szCs w:val="32"/>
          <w:shd w:val="clear" w:fill="FFFFFF"/>
        </w:rPr>
        <w:t>，负责政府信息公开信息的收集、发布，做到公开及时、公开真实。有序、有效的推进</w:t>
      </w:r>
      <w:r>
        <w:rPr>
          <w:rFonts w:hint="eastAsia" w:ascii="仿宋_GB2312" w:hAnsi="仿宋_GB2312" w:eastAsia="仿宋_GB2312" w:cs="仿宋_GB2312"/>
          <w:i w:val="0"/>
          <w:caps w:val="0"/>
          <w:color w:val="auto"/>
          <w:spacing w:val="0"/>
          <w:sz w:val="32"/>
          <w:szCs w:val="32"/>
          <w:shd w:val="clear" w:fill="FFFFFF"/>
          <w:lang w:eastAsia="zh-CN"/>
        </w:rPr>
        <w:t>我街道</w:t>
      </w:r>
      <w:r>
        <w:rPr>
          <w:rFonts w:hint="eastAsia" w:ascii="仿宋_GB2312" w:hAnsi="仿宋_GB2312" w:eastAsia="仿宋_GB2312" w:cs="仿宋_GB2312"/>
          <w:i w:val="0"/>
          <w:caps w:val="0"/>
          <w:color w:val="auto"/>
          <w:spacing w:val="0"/>
          <w:sz w:val="32"/>
          <w:szCs w:val="32"/>
          <w:shd w:val="clear" w:fill="FFFFFF"/>
        </w:rPr>
        <w:t>政府信息公开工作，安排专人负责政府信息公开工作，及时上报公开信息，让群众能够及时了解政府工作情况、进程。二是</w:t>
      </w:r>
      <w:r>
        <w:rPr>
          <w:rFonts w:hint="eastAsia" w:ascii="仿宋_GB2312" w:hAnsi="仿宋_GB2312" w:eastAsia="仿宋_GB2312" w:cs="仿宋_GB2312"/>
          <w:color w:val="auto"/>
          <w:sz w:val="32"/>
          <w:szCs w:val="32"/>
          <w:lang w:val="en-US" w:eastAsia="zh-CN"/>
        </w:rPr>
        <w:t>在工作中逐步完善政务公开工作制度并严格按照制度执行工作。按照区政务公开主管部门工作要求，积极部署政务公开工作情况等。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2.主动公开情况。</w:t>
      </w:r>
      <w:r>
        <w:rPr>
          <w:rFonts w:hint="eastAsia" w:ascii="仿宋_GB2312" w:hAnsi="宋体" w:eastAsia="仿宋_GB2312" w:cs="宋体"/>
          <w:color w:val="auto"/>
          <w:spacing w:val="8"/>
          <w:kern w:val="0"/>
          <w:sz w:val="32"/>
          <w:szCs w:val="32"/>
          <w:lang w:val="en-US" w:eastAsia="zh-CN"/>
        </w:rPr>
        <w:t>本街道2021年主动公开政府信息数</w:t>
      </w:r>
      <w:r>
        <w:rPr>
          <w:rFonts w:hint="eastAsia" w:ascii="仿宋_GB2312" w:hAnsi="宋体" w:eastAsia="仿宋_GB2312" w:cs="宋体"/>
          <w:color w:val="auto"/>
          <w:spacing w:val="8"/>
          <w:kern w:val="0"/>
          <w:sz w:val="32"/>
          <w:szCs w:val="32"/>
          <w:highlight w:val="none"/>
          <w:lang w:val="en-US" w:eastAsia="zh-CN"/>
        </w:rPr>
        <w:t>83条</w:t>
      </w:r>
      <w:r>
        <w:rPr>
          <w:rFonts w:hint="eastAsia" w:ascii="仿宋_GB2312" w:hAnsi="宋体" w:eastAsia="仿宋_GB2312" w:cs="宋体"/>
          <w:color w:val="auto"/>
          <w:spacing w:val="8"/>
          <w:kern w:val="0"/>
          <w:sz w:val="32"/>
          <w:szCs w:val="32"/>
          <w:lang w:val="en-US" w:eastAsia="zh-CN"/>
        </w:rPr>
        <w:t>。</w:t>
      </w:r>
      <w:r>
        <w:rPr>
          <w:rFonts w:hint="eastAsia" w:ascii="仿宋" w:hAnsi="仿宋" w:eastAsia="仿宋" w:cs="仿宋"/>
          <w:color w:val="auto"/>
          <w:kern w:val="0"/>
          <w:sz w:val="32"/>
          <w:szCs w:val="32"/>
        </w:rPr>
        <w:t>其中，机构职能类信息</w:t>
      </w:r>
      <w:r>
        <w:rPr>
          <w:rFonts w:hint="eastAsia" w:ascii="仿宋" w:hAnsi="仿宋" w:eastAsia="仿宋" w:cs="仿宋"/>
          <w:color w:val="auto"/>
          <w:kern w:val="0"/>
          <w:sz w:val="32"/>
          <w:szCs w:val="32"/>
          <w:lang w:val="en-US" w:eastAsia="zh-CN"/>
        </w:rPr>
        <w:t>22</w:t>
      </w:r>
      <w:r>
        <w:rPr>
          <w:rFonts w:hint="eastAsia" w:ascii="仿宋" w:hAnsi="仿宋" w:eastAsia="仿宋" w:cs="仿宋"/>
          <w:color w:val="auto"/>
          <w:kern w:val="0"/>
          <w:sz w:val="32"/>
          <w:szCs w:val="32"/>
        </w:rPr>
        <w:t>条</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业务动态类信息</w:t>
      </w:r>
      <w:r>
        <w:rPr>
          <w:rFonts w:hint="eastAsia" w:ascii="仿宋" w:hAnsi="仿宋" w:eastAsia="仿宋" w:cs="仿宋"/>
          <w:color w:val="auto"/>
          <w:kern w:val="0"/>
          <w:sz w:val="32"/>
          <w:szCs w:val="32"/>
          <w:lang w:val="en-US" w:eastAsia="zh-CN"/>
        </w:rPr>
        <w:t>57</w:t>
      </w:r>
      <w:r>
        <w:rPr>
          <w:rFonts w:hint="eastAsia" w:ascii="仿宋" w:hAnsi="仿宋" w:eastAsia="仿宋" w:cs="仿宋"/>
          <w:color w:val="auto"/>
          <w:kern w:val="0"/>
          <w:sz w:val="32"/>
          <w:szCs w:val="32"/>
        </w:rPr>
        <w:t>条。</w:t>
      </w:r>
      <w:r>
        <w:rPr>
          <w:rFonts w:hint="eastAsia" w:ascii="仿宋_GB2312" w:hAnsi="宋体" w:eastAsia="仿宋_GB2312" w:cs="宋体"/>
          <w:color w:val="auto"/>
          <w:spacing w:val="8"/>
          <w:kern w:val="0"/>
          <w:sz w:val="32"/>
          <w:szCs w:val="32"/>
          <w:lang w:val="en-US" w:eastAsia="zh-CN"/>
        </w:rPr>
        <w:t>通过微信公众号"清源e讯"微信共推送1357条。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3.依申请公开办理情况。</w:t>
      </w:r>
      <w:r>
        <w:rPr>
          <w:rFonts w:hint="eastAsia" w:ascii="仿宋_GB2312" w:hAnsi="宋体" w:eastAsia="仿宋_GB2312" w:cs="宋体"/>
          <w:color w:val="auto"/>
          <w:spacing w:val="8"/>
          <w:kern w:val="0"/>
          <w:sz w:val="32"/>
          <w:szCs w:val="32"/>
          <w:lang w:val="en-US" w:eastAsia="zh-CN"/>
        </w:rPr>
        <w:t>本街道全年接到1件政府信息公开申请件，已按《政府信息公开条例》规定规范办理答复</w:t>
      </w:r>
      <w:r>
        <w:rPr>
          <w:rFonts w:hint="eastAsia" w:ascii="仿宋" w:hAnsi="仿宋" w:eastAsia="仿宋" w:cs="仿宋"/>
          <w:color w:val="auto"/>
          <w:sz w:val="32"/>
          <w:szCs w:val="32"/>
          <w:lang w:val="en-US" w:eastAsia="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4.政府信息管理情况。</w:t>
      </w:r>
      <w:r>
        <w:rPr>
          <w:rFonts w:hint="eastAsia" w:ascii="仿宋_GB2312" w:hAnsi="宋体" w:eastAsia="仿宋_GB2312" w:cs="宋体"/>
          <w:color w:val="auto"/>
          <w:spacing w:val="8"/>
          <w:kern w:val="0"/>
          <w:sz w:val="32"/>
          <w:szCs w:val="32"/>
          <w:lang w:val="en-US" w:eastAsia="zh-CN"/>
        </w:rPr>
        <w:t>认真落实政府信息</w:t>
      </w:r>
      <w:r>
        <w:rPr>
          <w:rFonts w:hint="eastAsia" w:ascii="仿宋_GB2312" w:hAnsi="仿宋_GB2312" w:eastAsia="仿宋_GB2312" w:cs="仿宋_GB2312"/>
          <w:color w:val="auto"/>
          <w:sz w:val="32"/>
          <w:szCs w:val="32"/>
          <w:lang w:val="en-US" w:eastAsia="zh-CN"/>
        </w:rPr>
        <w:t>公开属性源头管理要求，动态更新政务公开清单，严格落实政务公开要点任务。</w:t>
      </w:r>
      <w:r>
        <w:rPr>
          <w:rFonts w:hint="eastAsia" w:ascii="仿宋_GB2312" w:hAnsi="宋体" w:eastAsia="仿宋_GB2312" w:cs="宋体"/>
          <w:color w:val="auto"/>
          <w:spacing w:val="8"/>
          <w:kern w:val="0"/>
          <w:sz w:val="32"/>
          <w:szCs w:val="32"/>
          <w:lang w:val="en-US" w:eastAsia="zh-CN"/>
        </w:rPr>
        <w:t>报送信息前需经科室（社区）主要负责人和街道主管领导审核签字，审核后报送纸质版和电子版。确保报送的信息内容应规范、准确、有效、无错别字，并定期对信息报送情况进行汇总通报。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5.政府信息公开平台建设情况。</w:t>
      </w:r>
      <w:r>
        <w:rPr>
          <w:rFonts w:hint="eastAsia" w:ascii="仿宋_GB2312" w:hAnsi="宋体" w:eastAsia="仿宋_GB2312" w:cs="宋体"/>
          <w:color w:val="auto"/>
          <w:spacing w:val="8"/>
          <w:kern w:val="0"/>
          <w:sz w:val="32"/>
          <w:szCs w:val="32"/>
          <w:lang w:val="en-US" w:eastAsia="zh-CN"/>
        </w:rPr>
        <w:t>一是成立了专门机构，及时报送更新大兴区政府网站重要栏目信息；二是完善了政务服务大厅的政务公开专区的设立及服务；三是依托融媒体中心，侧重宣传街道工作。定期检查维护政府信息公开专用查询电脑，方便居民查询政府信息。完善</w:t>
      </w:r>
      <w:r>
        <w:rPr>
          <w:rFonts w:hint="eastAsia" w:ascii="仿宋_GB2312" w:hAnsi="仿宋_GB2312" w:eastAsia="仿宋_GB2312" w:cs="仿宋_GB2312"/>
          <w:color w:val="auto"/>
          <w:sz w:val="32"/>
          <w:szCs w:val="32"/>
          <w:lang w:val="en-US" w:eastAsia="zh-CN"/>
        </w:rPr>
        <w:t>政务新媒体栏目建设、丰富内容、及时更新政府工作动态。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6.教育培训情况。</w:t>
      </w:r>
      <w:r>
        <w:rPr>
          <w:rFonts w:hint="eastAsia" w:ascii="仿宋_GB2312" w:hAnsi="宋体" w:eastAsia="仿宋_GB2312" w:cs="宋体"/>
          <w:color w:val="auto"/>
          <w:spacing w:val="8"/>
          <w:kern w:val="0"/>
          <w:sz w:val="32"/>
          <w:szCs w:val="32"/>
          <w:lang w:val="en-US" w:eastAsia="zh-CN"/>
        </w:rPr>
        <w:t>街道认真落实政务公开的各项要求，紧紧围绕群众关注关切，深化重点领域信息公开，完善政务公开平台建设，健全政务公开配套制度，着力提升政务公开质量。</w:t>
      </w:r>
      <w:r>
        <w:rPr>
          <w:rFonts w:hint="eastAsia" w:ascii="仿宋_GB2312" w:hAnsi="仿宋_GB2312" w:eastAsia="仿宋_GB2312" w:cs="仿宋_GB2312"/>
          <w:i w:val="0"/>
          <w:caps w:val="0"/>
          <w:color w:val="auto"/>
          <w:spacing w:val="0"/>
          <w:sz w:val="32"/>
          <w:szCs w:val="32"/>
          <w:shd w:val="clear" w:fill="FFFFFF"/>
        </w:rPr>
        <w:t>对</w:t>
      </w:r>
      <w:r>
        <w:rPr>
          <w:rFonts w:hint="eastAsia" w:ascii="仿宋_GB2312" w:hAnsi="仿宋_GB2312" w:eastAsia="仿宋_GB2312" w:cs="仿宋_GB2312"/>
          <w:i w:val="0"/>
          <w:caps w:val="0"/>
          <w:color w:val="auto"/>
          <w:spacing w:val="0"/>
          <w:sz w:val="32"/>
          <w:szCs w:val="32"/>
          <w:shd w:val="clear" w:fill="FFFFFF"/>
          <w:lang w:eastAsia="zh-CN"/>
        </w:rPr>
        <w:t>负责</w:t>
      </w:r>
      <w:r>
        <w:rPr>
          <w:rFonts w:hint="eastAsia" w:ascii="仿宋_GB2312" w:hAnsi="仿宋_GB2312" w:eastAsia="仿宋_GB2312" w:cs="仿宋_GB2312"/>
          <w:i w:val="0"/>
          <w:caps w:val="0"/>
          <w:color w:val="auto"/>
          <w:spacing w:val="0"/>
          <w:sz w:val="32"/>
          <w:szCs w:val="32"/>
          <w:shd w:val="clear" w:fill="FFFFFF"/>
        </w:rPr>
        <w:t>政务</w:t>
      </w:r>
      <w:r>
        <w:rPr>
          <w:rFonts w:hint="eastAsia" w:ascii="仿宋_GB2312" w:hAnsi="仿宋_GB2312" w:eastAsia="仿宋_GB2312" w:cs="仿宋_GB2312"/>
          <w:i w:val="0"/>
          <w:caps w:val="0"/>
          <w:color w:val="auto"/>
          <w:spacing w:val="0"/>
          <w:sz w:val="32"/>
          <w:szCs w:val="32"/>
          <w:shd w:val="clear" w:fill="FFFFFF"/>
          <w:lang w:eastAsia="zh-CN"/>
        </w:rPr>
        <w:t>公开相关工作的</w:t>
      </w:r>
      <w:r>
        <w:rPr>
          <w:rFonts w:hint="eastAsia" w:ascii="仿宋_GB2312" w:hAnsi="仿宋_GB2312" w:eastAsia="仿宋_GB2312" w:cs="仿宋_GB2312"/>
          <w:i w:val="0"/>
          <w:caps w:val="0"/>
          <w:color w:val="auto"/>
          <w:spacing w:val="0"/>
          <w:sz w:val="32"/>
          <w:szCs w:val="32"/>
          <w:shd w:val="clear" w:fill="FFFFFF"/>
        </w:rPr>
        <w:t>工作人员进行</w:t>
      </w:r>
      <w:r>
        <w:rPr>
          <w:rFonts w:hint="eastAsia" w:ascii="仿宋_GB2312" w:hAnsi="仿宋_GB2312" w:eastAsia="仿宋_GB2312" w:cs="仿宋_GB2312"/>
          <w:i w:val="0"/>
          <w:caps w:val="0"/>
          <w:color w:val="auto"/>
          <w:spacing w:val="0"/>
          <w:sz w:val="32"/>
          <w:szCs w:val="32"/>
          <w:shd w:val="clear" w:fill="FFFFFF"/>
          <w:lang w:eastAsia="zh-CN"/>
        </w:rPr>
        <w:t>培训，着重对</w:t>
      </w:r>
      <w:r>
        <w:rPr>
          <w:rFonts w:hint="eastAsia" w:ascii="仿宋_GB2312" w:hAnsi="仿宋_GB2312" w:eastAsia="仿宋_GB2312" w:cs="仿宋_GB2312"/>
          <w:i w:val="0"/>
          <w:caps w:val="0"/>
          <w:color w:val="auto"/>
          <w:spacing w:val="0"/>
          <w:sz w:val="32"/>
          <w:szCs w:val="32"/>
          <w:shd w:val="clear" w:fill="FFFFFF"/>
        </w:rPr>
        <w:t>文件精神进行解读</w:t>
      </w:r>
      <w:r>
        <w:rPr>
          <w:rFonts w:hint="eastAsia" w:ascii="仿宋_GB2312" w:hAnsi="仿宋_GB2312" w:eastAsia="仿宋_GB2312" w:cs="仿宋_GB2312"/>
          <w:i w:val="0"/>
          <w:caps w:val="0"/>
          <w:color w:val="auto"/>
          <w:spacing w:val="0"/>
          <w:sz w:val="32"/>
          <w:szCs w:val="32"/>
          <w:shd w:val="clear" w:fill="FFFFFF"/>
          <w:lang w:eastAsia="zh-CN"/>
        </w:rPr>
        <w:t>，积极参加政府信息公开主管部门组织的培训活动，认真落实工作任务。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7.监督保障情况。</w:t>
      </w:r>
      <w:r>
        <w:rPr>
          <w:rFonts w:hint="eastAsia" w:ascii="仿宋_GB2312" w:hAnsi="宋体" w:eastAsia="仿宋_GB2312" w:cs="宋体"/>
          <w:color w:val="auto"/>
          <w:spacing w:val="8"/>
          <w:kern w:val="0"/>
          <w:sz w:val="32"/>
          <w:szCs w:val="32"/>
          <w:highlight w:val="none"/>
          <w:lang w:val="en-US" w:eastAsia="zh-CN"/>
        </w:rPr>
        <w:t>积极配合</w:t>
      </w:r>
      <w:r>
        <w:rPr>
          <w:rFonts w:hint="eastAsia" w:ascii="仿宋_GB2312" w:hAnsi="宋体" w:eastAsia="仿宋_GB2312" w:cs="宋体"/>
          <w:color w:val="auto"/>
          <w:spacing w:val="8"/>
          <w:kern w:val="0"/>
          <w:sz w:val="32"/>
          <w:szCs w:val="32"/>
          <w:lang w:val="en-US" w:eastAsia="zh-CN"/>
        </w:rPr>
        <w:t>第三方机构对我街道的年度政务公开工作测评工作，认真接受相关测评建议。网页端口定期测试，保障投诉渠道畅通，未收到</w:t>
      </w:r>
      <w:r>
        <w:rPr>
          <w:rFonts w:hint="eastAsia" w:ascii="仿宋_GB2312" w:hAnsi="仿宋_GB2312" w:eastAsia="仿宋_GB2312" w:cs="仿宋_GB2312"/>
          <w:color w:val="auto"/>
          <w:sz w:val="32"/>
          <w:szCs w:val="32"/>
          <w:highlight w:val="none"/>
          <w:lang w:val="en-US" w:eastAsia="zh-CN"/>
        </w:rPr>
        <w:t>群众建言建议或投诉反馈情况。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outlineLvl w:val="0"/>
        <w:rPr>
          <w:rFonts w:hint="eastAsia" w:ascii="黑体" w:hAnsi="黑体" w:eastAsia="黑体" w:cs="黑体"/>
          <w:color w:val="auto"/>
          <w:sz w:val="32"/>
          <w:szCs w:val="32"/>
        </w:rPr>
      </w:pPr>
      <w:r>
        <w:rPr>
          <w:rFonts w:hint="eastAsia" w:ascii="黑体" w:hAnsi="黑体" w:eastAsia="黑体" w:cs="宋体"/>
          <w:color w:val="auto"/>
          <w:spacing w:val="8"/>
          <w:kern w:val="0"/>
          <w:sz w:val="32"/>
          <w:szCs w:val="32"/>
          <w:lang w:eastAsia="zh-CN"/>
        </w:rPr>
        <w:t>二、</w:t>
      </w:r>
      <w:r>
        <w:rPr>
          <w:rFonts w:hint="eastAsia" w:ascii="黑体" w:hAnsi="黑体" w:eastAsia="黑体" w:cs="宋体"/>
          <w:color w:val="auto"/>
          <w:spacing w:val="8"/>
          <w:kern w:val="0"/>
          <w:sz w:val="32"/>
          <w:szCs w:val="32"/>
        </w:rPr>
        <w:t>主动公开政府信息情况</w:t>
      </w:r>
    </w:p>
    <w:tbl>
      <w:tblPr>
        <w:tblStyle w:val="7"/>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收到和处理政府信息公开申请情况</w:t>
      </w:r>
    </w:p>
    <w:tbl>
      <w:tblPr>
        <w:tblStyle w:val="7"/>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color w:val="auto"/>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val="en-US" w:eastAsia="zh-CN"/>
              </w:rPr>
            </w:pPr>
            <w:r>
              <w:rPr>
                <w:rFonts w:hint="eastAsia"/>
                <w:color w:va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auto"/>
                <w:lang w:val="en-US" w:eastAsia="zh-CN"/>
              </w:rPr>
            </w:pPr>
            <w:r>
              <w:rPr>
                <w:rFonts w:hint="eastAsia"/>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color w:val="auto"/>
                <w:lang w:val="en-US" w:eastAsia="zh-CN"/>
              </w:rPr>
            </w:pPr>
            <w:r>
              <w:rPr>
                <w:rFonts w:hint="eastAsia"/>
                <w:color w:val="auto"/>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color w:val="auto"/>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color w:val="auto"/>
                <w:lang w:val="en-US" w:eastAsia="zh-CN"/>
              </w:rPr>
            </w:pPr>
            <w:r>
              <w:rPr>
                <w:rFonts w:hint="eastAsia"/>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default"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color w:val="auto"/>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r>
    </w:tbl>
    <w:p>
      <w:pPr>
        <w:spacing w:line="560" w:lineRule="exact"/>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p>
    <w:tbl>
      <w:tblPr>
        <w:tblStyle w:val="7"/>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ascii="黑体" w:hAnsi="宋体" w:eastAsia="黑体" w:cs="黑体"/>
                <w:color w:val="auto"/>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default"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w:t>
            </w:r>
            <w:r>
              <w:rPr>
                <w:rFonts w:hint="default" w:ascii="黑体" w:hAnsi="宋体" w:eastAsia="黑体" w:cs="黑体"/>
                <w:color w:val="auto"/>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left"/>
        <w:textAlignment w:val="auto"/>
        <w:rPr>
          <w:rFonts w:ascii="黑体" w:hAnsi="黑体" w:eastAsia="黑体" w:cs="宋体"/>
          <w:color w:val="auto"/>
          <w:spacing w:val="8"/>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left"/>
        <w:textAlignment w:val="auto"/>
        <w:outlineLvl w:val="0"/>
        <w:rPr>
          <w:rFonts w:ascii="宋体" w:hAnsi="宋体" w:cs="宋体"/>
          <w:color w:val="auto"/>
          <w:spacing w:val="8"/>
          <w:kern w:val="0"/>
          <w:sz w:val="24"/>
        </w:rPr>
      </w:pPr>
      <w:r>
        <w:rPr>
          <w:rFonts w:ascii="黑体" w:hAnsi="黑体" w:eastAsia="黑体" w:cs="宋体"/>
          <w:color w:val="auto"/>
          <w:spacing w:val="8"/>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
          <w:bCs/>
          <w:i w:val="0"/>
          <w:caps w:val="0"/>
          <w:color w:val="auto"/>
          <w:spacing w:val="0"/>
          <w:sz w:val="32"/>
          <w:szCs w:val="32"/>
          <w:shd w:val="clear" w:fill="FFFFFF"/>
          <w:lang w:eastAsia="zh-CN"/>
        </w:rPr>
        <w:t>一是政府信息公开实际效果存在表面化、形式化现象。</w:t>
      </w:r>
      <w:r>
        <w:rPr>
          <w:rFonts w:hint="eastAsia" w:ascii="仿宋_GB2312" w:hAnsi="仿宋_GB2312" w:eastAsia="仿宋_GB2312" w:cs="仿宋_GB2312"/>
          <w:i w:val="0"/>
          <w:caps w:val="0"/>
          <w:color w:val="auto"/>
          <w:spacing w:val="0"/>
          <w:sz w:val="32"/>
          <w:szCs w:val="32"/>
          <w:shd w:val="clear" w:fill="FFFFFF"/>
          <w:lang w:eastAsia="zh-CN"/>
        </w:rPr>
        <w:t>本年度街道重视负责政务公开工作人员的培训，着重强调政务公开内容的针对性和实用性，更加规范了各部门政务公开内容的审批程序，积极按政务服务局要求开展各项活动，丰富政务公开信息内容。对政府信息公开各专栏建设，与各科室相关模块负责人沟通交流，按程序及时发布更新内容，更加关注发布内容的针对性、时效性。逐步提升公开内容的质量，使政务信息公开内容真正对公众需要起到帮助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eastAsia="zh-CN"/>
        </w:rPr>
        <w:t>二是</w:t>
      </w:r>
      <w:r>
        <w:rPr>
          <w:rFonts w:hint="eastAsia" w:ascii="仿宋_GB2312" w:hAnsi="仿宋_GB2312" w:eastAsia="仿宋_GB2312" w:cs="仿宋_GB2312"/>
          <w:b/>
          <w:bCs/>
          <w:i w:val="0"/>
          <w:caps w:val="0"/>
          <w:color w:val="auto"/>
          <w:spacing w:val="0"/>
          <w:sz w:val="32"/>
          <w:szCs w:val="32"/>
          <w:shd w:val="clear" w:fill="FFFFFF"/>
        </w:rPr>
        <w:t>政务公开</w:t>
      </w:r>
      <w:r>
        <w:rPr>
          <w:rFonts w:hint="eastAsia" w:ascii="仿宋_GB2312" w:hAnsi="仿宋_GB2312" w:eastAsia="仿宋_GB2312" w:cs="仿宋_GB2312"/>
          <w:b/>
          <w:bCs/>
          <w:i w:val="0"/>
          <w:caps w:val="0"/>
          <w:color w:val="auto"/>
          <w:spacing w:val="0"/>
          <w:sz w:val="32"/>
          <w:szCs w:val="32"/>
          <w:shd w:val="clear" w:fill="FFFFFF"/>
          <w:lang w:eastAsia="zh-CN"/>
        </w:rPr>
        <w:t>内容过于</w:t>
      </w:r>
      <w:r>
        <w:rPr>
          <w:rFonts w:hint="eastAsia" w:ascii="仿宋_GB2312" w:hAnsi="仿宋_GB2312" w:eastAsia="仿宋_GB2312" w:cs="仿宋_GB2312"/>
          <w:b/>
          <w:bCs/>
          <w:i w:val="0"/>
          <w:caps w:val="0"/>
          <w:color w:val="auto"/>
          <w:spacing w:val="0"/>
          <w:sz w:val="32"/>
          <w:szCs w:val="32"/>
          <w:shd w:val="clear" w:fill="FFFFFF"/>
        </w:rPr>
        <w:t>单一性</w:t>
      </w:r>
      <w:r>
        <w:rPr>
          <w:rFonts w:hint="eastAsia" w:ascii="仿宋_GB2312" w:hAnsi="仿宋_GB2312" w:eastAsia="仿宋_GB2312" w:cs="仿宋_GB2312"/>
          <w:b/>
          <w:bCs/>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eastAsia="zh-CN"/>
        </w:rPr>
        <w:t>本年度为加强政务信息公开的实用性，与街道各社区代表积极沟通，通过座谈会形式，了解辖区居民最关心的热点问题，针对性的调整发布内容，使内容更加具有针对性；顺利开展政务开放日活动，邀请二十四位社区代表，多形式搭建起了交流平台，介绍了</w:t>
      </w:r>
      <w:r>
        <w:rPr>
          <w:rFonts w:hint="eastAsia" w:ascii="仿宋_GB2312" w:hAnsi="仿宋_GB2312" w:eastAsia="仿宋_GB2312" w:cs="仿宋_GB2312"/>
          <w:i w:val="0"/>
          <w:caps w:val="0"/>
          <w:color w:val="auto"/>
          <w:spacing w:val="0"/>
          <w:sz w:val="32"/>
          <w:szCs w:val="32"/>
          <w:shd w:val="clear" w:fill="FFFFFF"/>
        </w:rPr>
        <w:t>清源街道助残服务工作，更好的向各社区宣传我街道残疾人服务保障工作，进一步助力残疾人事业高质量发展</w:t>
      </w:r>
      <w:r>
        <w:rPr>
          <w:rFonts w:hint="eastAsia" w:ascii="仿宋_GB2312" w:hAnsi="仿宋_GB2312" w:eastAsia="仿宋_GB2312" w:cs="仿宋_GB2312"/>
          <w:i w:val="0"/>
          <w:caps w:val="0"/>
          <w:color w:val="auto"/>
          <w:spacing w:val="0"/>
          <w:sz w:val="32"/>
          <w:szCs w:val="32"/>
          <w:shd w:val="clear" w:fill="FFFFFF"/>
          <w:lang w:eastAsia="zh-CN"/>
        </w:rPr>
        <w:t>，提升了公众的参与度；建设政府信息公开咨询窗口，逐步完善建设与群众交流平台，及时了解公众需求，使政务公开内容更贴近公众关心的热难点问题。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ascii="宋体" w:hAnsi="宋体" w:cs="宋体"/>
          <w:color w:val="auto"/>
          <w:spacing w:val="8"/>
          <w:kern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w:t>
      </w:r>
      <w:r>
        <w:rPr>
          <w:rFonts w:ascii="黑体" w:hAnsi="黑体" w:eastAsia="黑体" w:cs="宋体"/>
          <w:color w:val="auto"/>
          <w:spacing w:val="8"/>
          <w:kern w:val="0"/>
          <w:sz w:val="32"/>
          <w:szCs w:val="32"/>
        </w:rPr>
        <w:t>六、其他需要报告的事项</w:t>
      </w:r>
    </w:p>
    <w:p>
      <w:pPr>
        <w:pStyle w:val="4"/>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bookmarkStart w:id="0" w:name="_GoBack"/>
      <w:bookmarkEnd w:id="0"/>
      <w:r>
        <w:rPr>
          <w:rFonts w:hint="eastAsia"/>
          <w:color w:val="auto"/>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155A9"/>
    <w:rsid w:val="00666318"/>
    <w:rsid w:val="010D71EC"/>
    <w:rsid w:val="01C84888"/>
    <w:rsid w:val="01D7518C"/>
    <w:rsid w:val="0429368D"/>
    <w:rsid w:val="06A8007C"/>
    <w:rsid w:val="095C78D4"/>
    <w:rsid w:val="09D92DBD"/>
    <w:rsid w:val="0A73674D"/>
    <w:rsid w:val="0A765C6B"/>
    <w:rsid w:val="0BBF7FA8"/>
    <w:rsid w:val="0C115BAD"/>
    <w:rsid w:val="0C897669"/>
    <w:rsid w:val="0D892960"/>
    <w:rsid w:val="0E454079"/>
    <w:rsid w:val="0FBB0DF8"/>
    <w:rsid w:val="104162D8"/>
    <w:rsid w:val="10883356"/>
    <w:rsid w:val="10AC4C99"/>
    <w:rsid w:val="10CC2389"/>
    <w:rsid w:val="1156379F"/>
    <w:rsid w:val="11AB5553"/>
    <w:rsid w:val="11F21E43"/>
    <w:rsid w:val="147B4A13"/>
    <w:rsid w:val="14E1117F"/>
    <w:rsid w:val="154657D6"/>
    <w:rsid w:val="15FD532F"/>
    <w:rsid w:val="173B7F7C"/>
    <w:rsid w:val="17572D73"/>
    <w:rsid w:val="17FE7A29"/>
    <w:rsid w:val="18B912D4"/>
    <w:rsid w:val="19A93A75"/>
    <w:rsid w:val="19CB303F"/>
    <w:rsid w:val="19CD7093"/>
    <w:rsid w:val="1B073B4E"/>
    <w:rsid w:val="1D06522A"/>
    <w:rsid w:val="1D1F1504"/>
    <w:rsid w:val="1D4033A8"/>
    <w:rsid w:val="1E5E4D03"/>
    <w:rsid w:val="1F0A786A"/>
    <w:rsid w:val="1F6F24E3"/>
    <w:rsid w:val="1F70712F"/>
    <w:rsid w:val="203A7E0F"/>
    <w:rsid w:val="208116E1"/>
    <w:rsid w:val="20AE523B"/>
    <w:rsid w:val="215555E3"/>
    <w:rsid w:val="21940873"/>
    <w:rsid w:val="22906CB1"/>
    <w:rsid w:val="22DD311B"/>
    <w:rsid w:val="23F16635"/>
    <w:rsid w:val="26297C6E"/>
    <w:rsid w:val="267F6C75"/>
    <w:rsid w:val="275945ED"/>
    <w:rsid w:val="282F056B"/>
    <w:rsid w:val="28B950E4"/>
    <w:rsid w:val="2A2F2F03"/>
    <w:rsid w:val="2A987643"/>
    <w:rsid w:val="2AF018F0"/>
    <w:rsid w:val="2B111DD1"/>
    <w:rsid w:val="2CF31B80"/>
    <w:rsid w:val="2DFB027F"/>
    <w:rsid w:val="2E02621A"/>
    <w:rsid w:val="2E4F645D"/>
    <w:rsid w:val="2EAF2510"/>
    <w:rsid w:val="2EFF36C5"/>
    <w:rsid w:val="2F007303"/>
    <w:rsid w:val="2FDC3AD8"/>
    <w:rsid w:val="2FF51EC7"/>
    <w:rsid w:val="2FFF708C"/>
    <w:rsid w:val="300D7F51"/>
    <w:rsid w:val="30860565"/>
    <w:rsid w:val="30AA7EE0"/>
    <w:rsid w:val="32125A44"/>
    <w:rsid w:val="32D50D5C"/>
    <w:rsid w:val="32D97734"/>
    <w:rsid w:val="32DD3C79"/>
    <w:rsid w:val="35A37DA7"/>
    <w:rsid w:val="36445244"/>
    <w:rsid w:val="36962549"/>
    <w:rsid w:val="37C568A0"/>
    <w:rsid w:val="382E1CF6"/>
    <w:rsid w:val="385E4966"/>
    <w:rsid w:val="387E3FAF"/>
    <w:rsid w:val="39827E0F"/>
    <w:rsid w:val="39DC59AC"/>
    <w:rsid w:val="3A2B18DD"/>
    <w:rsid w:val="3AE33D0C"/>
    <w:rsid w:val="3B1155A9"/>
    <w:rsid w:val="3BC12DBD"/>
    <w:rsid w:val="3C9746C3"/>
    <w:rsid w:val="3C974894"/>
    <w:rsid w:val="3EA06B2E"/>
    <w:rsid w:val="3F407B88"/>
    <w:rsid w:val="3F4762B5"/>
    <w:rsid w:val="3F704C7A"/>
    <w:rsid w:val="3F9F1A2F"/>
    <w:rsid w:val="3FCA7E4F"/>
    <w:rsid w:val="3FCE1E37"/>
    <w:rsid w:val="41756855"/>
    <w:rsid w:val="42756E7C"/>
    <w:rsid w:val="431D112B"/>
    <w:rsid w:val="43437E84"/>
    <w:rsid w:val="44576363"/>
    <w:rsid w:val="44B60B0C"/>
    <w:rsid w:val="44FC0E3C"/>
    <w:rsid w:val="463F11BC"/>
    <w:rsid w:val="464000C8"/>
    <w:rsid w:val="47551102"/>
    <w:rsid w:val="47D643AB"/>
    <w:rsid w:val="481E3B16"/>
    <w:rsid w:val="48562E28"/>
    <w:rsid w:val="4A0F0EC5"/>
    <w:rsid w:val="4B5D7D72"/>
    <w:rsid w:val="4B9A137C"/>
    <w:rsid w:val="4C9B5E41"/>
    <w:rsid w:val="4DC83A8F"/>
    <w:rsid w:val="4F0E7141"/>
    <w:rsid w:val="4F397D1E"/>
    <w:rsid w:val="4FF31D0E"/>
    <w:rsid w:val="5035382F"/>
    <w:rsid w:val="503A7EB0"/>
    <w:rsid w:val="51D55F79"/>
    <w:rsid w:val="521D13D7"/>
    <w:rsid w:val="524B5FF0"/>
    <w:rsid w:val="542E349F"/>
    <w:rsid w:val="54BF44F3"/>
    <w:rsid w:val="560A0CEF"/>
    <w:rsid w:val="564B45F3"/>
    <w:rsid w:val="565518C8"/>
    <w:rsid w:val="56884165"/>
    <w:rsid w:val="573A3A91"/>
    <w:rsid w:val="58214C98"/>
    <w:rsid w:val="585300D2"/>
    <w:rsid w:val="586B3582"/>
    <w:rsid w:val="5870337C"/>
    <w:rsid w:val="5A680A9A"/>
    <w:rsid w:val="5BD70DD8"/>
    <w:rsid w:val="5BEE0A41"/>
    <w:rsid w:val="5BF5515D"/>
    <w:rsid w:val="5D2C34E6"/>
    <w:rsid w:val="5F1D54C8"/>
    <w:rsid w:val="5F635ADD"/>
    <w:rsid w:val="5FE45781"/>
    <w:rsid w:val="60664893"/>
    <w:rsid w:val="61CE531F"/>
    <w:rsid w:val="62613D86"/>
    <w:rsid w:val="63643713"/>
    <w:rsid w:val="63791186"/>
    <w:rsid w:val="63B9067C"/>
    <w:rsid w:val="64F65BDD"/>
    <w:rsid w:val="64FB24A6"/>
    <w:rsid w:val="65096549"/>
    <w:rsid w:val="66B472C4"/>
    <w:rsid w:val="66D13508"/>
    <w:rsid w:val="682215D0"/>
    <w:rsid w:val="68AB6FA8"/>
    <w:rsid w:val="6A140294"/>
    <w:rsid w:val="6AC45278"/>
    <w:rsid w:val="6E6F40DF"/>
    <w:rsid w:val="6F097604"/>
    <w:rsid w:val="6FA04514"/>
    <w:rsid w:val="71292780"/>
    <w:rsid w:val="71660659"/>
    <w:rsid w:val="71C656B7"/>
    <w:rsid w:val="7290337A"/>
    <w:rsid w:val="72E11A5D"/>
    <w:rsid w:val="749E2FAC"/>
    <w:rsid w:val="74C00D65"/>
    <w:rsid w:val="74C60C09"/>
    <w:rsid w:val="74D126D5"/>
    <w:rsid w:val="74E41255"/>
    <w:rsid w:val="75856D78"/>
    <w:rsid w:val="76B54E84"/>
    <w:rsid w:val="76F87206"/>
    <w:rsid w:val="773F5E64"/>
    <w:rsid w:val="774F04F7"/>
    <w:rsid w:val="78335DE3"/>
    <w:rsid w:val="79170B8E"/>
    <w:rsid w:val="79A25452"/>
    <w:rsid w:val="79EE6353"/>
    <w:rsid w:val="7B823983"/>
    <w:rsid w:val="7C6D64E6"/>
    <w:rsid w:val="7CB31275"/>
    <w:rsid w:val="7D5C07D2"/>
    <w:rsid w:val="7D8D6377"/>
    <w:rsid w:val="7DF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annotation text"/>
    <w:basedOn w:val="1"/>
    <w:uiPriority w:val="0"/>
    <w:pPr>
      <w:jc w:val="left"/>
    </w:p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2021-12-11T03:43:00Z</dcterms:created>
  <dc:creator>徐梦</dc:creator>
  <cp:lastModifiedBy>信息公开科</cp:lastModifiedBy>
  <dcterms:modified xsi:type="dcterms:W3CDTF">2022-01-19T09:06:30Z</dcterms:modified>
  <dc:title>北京市大兴区清源街道办事处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