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北京市大兴区天宫院街道办事处</w:t>
      </w:r>
    </w:p>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72" w:firstLineChars="200"/>
        <w:jc w:val="left"/>
        <w:textAlignment w:val="auto"/>
        <w:outlineLvl w:val="0"/>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outlineLvl w:val="1"/>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1.组织领导</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0"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街道工委副书记为政府信息公开工作主管领导，亲自抓政务公开工作、协调处理政务公开重大问题。综合办公室为承办科室，负责政务公开具体工作，确保本单位政府信息公开工作落到实处。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outlineLvl w:val="1"/>
        <w:rPr>
          <w:rFonts w:hint="eastAsia" w:ascii="仿宋" w:hAnsi="仿宋" w:eastAsia="仿宋" w:cs="仿宋_GB2312"/>
          <w:b/>
          <w:bCs/>
          <w:sz w:val="32"/>
          <w:szCs w:val="32"/>
        </w:rPr>
      </w:pP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.主动公开情况</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outlineLvl w:val="9"/>
        <w:rPr>
          <w:rFonts w:hint="eastAsia" w:ascii="仿宋" w:hAnsi="仿宋"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按照《政府信息公开条例》有关规定，天宫院街道扎实推进主动公开工作。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全年共</w:t>
      </w: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1452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政务微信公开政府信息数</w:t>
      </w:r>
      <w:r>
        <w:rPr>
          <w:rFonts w:hint="eastAsia" w:ascii="仿宋_GB2312" w:hAnsi="仿宋_GB2312" w:eastAsia="仿宋_GB2312" w:cs="仿宋_GB2312"/>
          <w:sz w:val="32"/>
          <w:szCs w:val="32"/>
          <w:lang w:val="en-US" w:eastAsia="zh-CN"/>
        </w:rPr>
        <w:t>1320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大兴区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重点领域115条、领导信箱9条、公示公告8条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outlineLvl w:val="1"/>
        <w:rPr>
          <w:rFonts w:hint="eastAsia" w:ascii="仿宋_GB2312" w:hAnsi="仿宋_GB2312" w:eastAsia="仿宋_GB2312" w:cs="仿宋_GB2312"/>
          <w:b/>
          <w:bCs/>
          <w:color w:val="000000"/>
          <w:kern w:val="0"/>
          <w:sz w:val="32"/>
          <w:szCs w:val="32"/>
        </w:rPr>
      </w:pP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依申请公开办理情况</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天宫院街道不断畅通依申请公开受理渠道，做好依申请公开登记、备案及答复工作并留存相关资料。20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年全年共接到依申请公开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件，申请方式均为邮件的形式，</w:t>
      </w:r>
      <w:r>
        <w:rPr>
          <w:rFonts w:hint="eastAsia" w:ascii="仿宋_GB2312" w:hAnsi="仿宋_GB2312" w:eastAsia="仿宋_GB2312" w:cs="仿宋_GB2312"/>
          <w:sz w:val="32"/>
          <w:szCs w:val="32"/>
          <w:lang w:val="en-US" w:eastAsia="zh-CN"/>
        </w:rPr>
        <w:t>3件全部按照</w:t>
      </w:r>
      <w:r>
        <w:rPr>
          <w:rFonts w:hint="eastAsia" w:ascii="仿宋_GB2312" w:hAnsi="仿宋_GB2312" w:eastAsia="仿宋_GB2312" w:cs="仿宋_GB2312"/>
          <w:kern w:val="2"/>
          <w:sz w:val="32"/>
          <w:szCs w:val="32"/>
          <w:lang w:val="en-US" w:eastAsia="zh-CN" w:bidi="ar-SA"/>
        </w:rPr>
        <w:t>《政府信息公开条例》</w:t>
      </w:r>
      <w:r>
        <w:rPr>
          <w:rFonts w:hint="eastAsia" w:ascii="仿宋_GB2312" w:hAnsi="仿宋_GB2312" w:eastAsia="仿宋_GB2312" w:cs="仿宋_GB2312"/>
          <w:sz w:val="32"/>
          <w:szCs w:val="32"/>
          <w:lang w:val="en-US" w:eastAsia="zh-CN"/>
        </w:rPr>
        <w:t>时限规定按期答复，未出现</w:t>
      </w:r>
      <w:r>
        <w:rPr>
          <w:rFonts w:hint="eastAsia" w:ascii="仿宋_GB2312" w:hAnsi="仿宋_GB2312" w:eastAsia="仿宋_GB2312" w:cs="仿宋_GB2312"/>
          <w:sz w:val="32"/>
          <w:szCs w:val="32"/>
          <w:lang w:eastAsia="zh-CN"/>
        </w:rPr>
        <w:t>转入下年度办理的情况。</w:t>
      </w:r>
      <w:r>
        <w:rPr>
          <w:rFonts w:hint="eastAsia" w:ascii="仿宋_GB2312" w:hAnsi="仿宋_GB2312" w:eastAsia="仿宋_GB2312" w:cs="仿宋_GB2312"/>
          <w:sz w:val="32"/>
          <w:szCs w:val="32"/>
          <w:lang w:val="en-US" w:eastAsia="zh-CN"/>
        </w:rPr>
        <w:t>全年未出现因政府信息公开申请导致的行政复议、提起行政诉讼的情况。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outlineLvl w:val="1"/>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4.政府信息资源的规范化、标准化管理情况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遵照天宫院街道信息报送工作制度，明确各科室（社区）负责人为信息报送工作的第一责任人，并明确1名信息收集报送人员，报送信息前需经科室（社区）主要负责人和街道主管领导审核签字，审核后报送纸质版和电子版。确保报送的信息内容应规范、准确、有效、无错别字，并定期对信息报送情况进行汇总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outlineLvl w:val="1"/>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5.政府信息公开平台建设情况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成专人负责政府信息公开专栏、政务微信公众号的信息发布、更新及其他相关工作，严格落实保密审查制度，确保公开信息的准确性、时效性。及时在政府信息公开查阅点更新投放国务院公报、北京市人民公报。定期检查维护</w:t>
      </w:r>
      <w:r>
        <w:rPr>
          <w:rFonts w:hint="eastAsia" w:ascii="仿宋_GB2312" w:hAnsi="仿宋_GB2312" w:eastAsia="仿宋_GB2312" w:cs="仿宋_GB2312"/>
          <w:sz w:val="32"/>
          <w:szCs w:val="32"/>
          <w:lang w:val="en-US" w:eastAsia="zh-CN"/>
        </w:rPr>
        <w:t>政府信息公开专用查询电脑，方便居民查询政府信息。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outlineLvl w:val="1"/>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6.政府信息公开监督保障情况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通过政府信息公开指南发布大兴区政府信息公开主管部门举报受理电话，畅通诉求、监督渠道，通过政务微信公众号留言板等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广泛听取群众意见，自觉接受群众监督。全年对外联系电话畅通，未出现无人接听的情况。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outlineLvl w:val="1"/>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7.政府信息公开教育培训情况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黑体" w:hAnsi="黑体" w:eastAsia="黑体" w:cs="宋体"/>
          <w:spacing w:val="8"/>
          <w:kern w:val="0"/>
          <w:sz w:val="32"/>
          <w:szCs w:val="32"/>
          <w:lang w:eastAsia="zh-CN"/>
        </w:rPr>
      </w:pPr>
      <w:r>
        <w:rPr>
          <w:rFonts w:hint="eastAsia" w:ascii="仿宋_GB2312" w:hAnsi="仿宋_GB2312" w:eastAsia="仿宋_GB2312" w:cs="仿宋_GB2312"/>
          <w:sz w:val="32"/>
          <w:szCs w:val="32"/>
          <w:lang w:val="en-US" w:eastAsia="zh-CN"/>
        </w:rPr>
        <w:t>2021年全年，开展政务开放日活动1次。参加区政务服务管理局通过线上、线下多形式组织的会议、培训共5次。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72" w:firstLineChars="200"/>
        <w:textAlignment w:val="auto"/>
        <w:outlineLvl w:val="0"/>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7"/>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 </w:t>
            </w:r>
            <w:r>
              <w:rPr>
                <w:rFonts w:hint="eastAsia" w:ascii="Times New Roman" w:hAnsi="Times New Roman" w:cs="Times New Roman"/>
                <w:szCs w:val="22"/>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ind w:firstLine="210" w:firstLineChars="100"/>
              <w:jc w:val="both"/>
              <w:rPr>
                <w:rFonts w:hint="eastAsia" w:ascii="Times New Roman" w:hAnsi="Times New Roman" w:cs="Times New Roman"/>
                <w:szCs w:val="22"/>
                <w:lang w:val="en-US" w:eastAsia="zh-CN"/>
              </w:rPr>
            </w:pPr>
          </w:p>
          <w:p>
            <w:pPr>
              <w:ind w:firstLine="210" w:firstLineChars="100"/>
              <w:jc w:val="both"/>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r>
              <w:rPr>
                <w:rFonts w:hint="default" w:ascii="Times New Roman" w:hAnsi="Times New Roman" w:cs="Times New Roman"/>
                <w:szCs w:val="22"/>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0</w:t>
            </w:r>
          </w:p>
        </w:tc>
      </w:tr>
    </w:tbl>
    <w:p>
      <w:pPr>
        <w:keepNext w:val="0"/>
        <w:keepLines w:val="0"/>
        <w:widowControl/>
        <w:suppressLineNumbers w:val="0"/>
        <w:jc w:val="left"/>
      </w:pPr>
    </w:p>
    <w:p>
      <w:pPr>
        <w:widowControl/>
        <w:spacing w:line="560" w:lineRule="exact"/>
        <w:ind w:firstLine="672" w:firstLineChars="200"/>
        <w:jc w:val="left"/>
        <w:outlineLvl w:val="0"/>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lang w:eastAsia="zh-CN"/>
        </w:rPr>
        <w:t>年，在区政务服务局的指导下，我街道严格落实《政务公开条例》及《</w:t>
      </w:r>
      <w:r>
        <w:rPr>
          <w:rFonts w:hint="eastAsia" w:ascii="仿宋_GB2312" w:hAnsi="仿宋_GB2312" w:eastAsia="仿宋_GB2312" w:cs="仿宋_GB2312"/>
          <w:kern w:val="0"/>
          <w:sz w:val="32"/>
          <w:szCs w:val="32"/>
          <w:lang w:val="en-US" w:eastAsia="zh-CN"/>
        </w:rPr>
        <w:t>2021政务</w:t>
      </w:r>
      <w:r>
        <w:rPr>
          <w:rFonts w:hint="eastAsia" w:ascii="仿宋_GB2312" w:hAnsi="仿宋_GB2312" w:eastAsia="仿宋_GB2312" w:cs="仿宋_GB2312"/>
          <w:kern w:val="0"/>
          <w:sz w:val="32"/>
          <w:szCs w:val="32"/>
          <w:lang w:eastAsia="zh-CN"/>
        </w:rPr>
        <w:t>公开要点》相关要求，开展政府信息公开工作，虽然取得了一些进步，但还存在一些不足。例如：政策解读方面信息公开相对薄弱。下一步将加强政策解读方面工作信息公开量，不断完善街道政府信息公开</w:t>
      </w:r>
      <w:r>
        <w:rPr>
          <w:rFonts w:hint="eastAsia" w:ascii="仿宋_GB2312" w:hAnsi="仿宋_GB2312" w:eastAsia="仿宋_GB2312" w:cs="仿宋_GB2312"/>
          <w:kern w:val="0"/>
          <w:sz w:val="32"/>
          <w:szCs w:val="32"/>
          <w:lang w:val="en-US" w:eastAsia="zh-CN"/>
        </w:rPr>
        <w:t>机制，</w:t>
      </w:r>
      <w:r>
        <w:rPr>
          <w:rFonts w:hint="eastAsia" w:ascii="仿宋_GB2312" w:hAnsi="仿宋_GB2312" w:eastAsia="仿宋_GB2312" w:cs="仿宋_GB2312"/>
          <w:kern w:val="0"/>
          <w:sz w:val="32"/>
          <w:szCs w:val="32"/>
          <w:lang w:eastAsia="zh-CN"/>
        </w:rPr>
        <w:t>规范依申请公开办理流程。通过开展相关培训加强街道各部门、各领域的信息公开工作，</w:t>
      </w:r>
      <w:r>
        <w:rPr>
          <w:rFonts w:hint="eastAsia" w:ascii="仿宋_GB2312" w:hAnsi="仿宋_GB2312" w:eastAsia="仿宋_GB2312" w:cs="仿宋_GB2312"/>
          <w:kern w:val="0"/>
          <w:sz w:val="32"/>
          <w:szCs w:val="32"/>
          <w:lang w:val="en-US" w:eastAsia="zh-CN"/>
        </w:rPr>
        <w:t>切实保障公众知情权、参与权、监督权</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outlineLvl w:val="0"/>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天宫院街道</w:t>
      </w:r>
      <w:r>
        <w:rPr>
          <w:rFonts w:hint="eastAsia" w:ascii="仿宋_GB2312" w:hAnsi="仿宋_GB2312" w:eastAsia="仿宋_GB2312" w:cs="仿宋_GB2312"/>
          <w:color w:val="auto"/>
          <w:kern w:val="2"/>
          <w:sz w:val="32"/>
          <w:szCs w:val="32"/>
          <w:lang w:val="en-US" w:eastAsia="zh-CN" w:bidi="ar-SA"/>
        </w:rPr>
        <w:t>本年度发出收费通知的件数和总金额以及实际收取的总金额均为0。</w:t>
      </w:r>
      <w:bookmarkStart w:id="0" w:name="_GoBack"/>
      <w:bookmarkEnd w:id="0"/>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2BD2D"/>
    <w:multiLevelType w:val="singleLevel"/>
    <w:tmpl w:val="7312BD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86309"/>
    <w:rsid w:val="014D02C0"/>
    <w:rsid w:val="02485A70"/>
    <w:rsid w:val="10C06F27"/>
    <w:rsid w:val="18772E44"/>
    <w:rsid w:val="199C7F7E"/>
    <w:rsid w:val="1D0A392B"/>
    <w:rsid w:val="1FEC0AD5"/>
    <w:rsid w:val="22321669"/>
    <w:rsid w:val="22687344"/>
    <w:rsid w:val="24AE556B"/>
    <w:rsid w:val="266A33BC"/>
    <w:rsid w:val="2719125F"/>
    <w:rsid w:val="293946A5"/>
    <w:rsid w:val="2B946EE2"/>
    <w:rsid w:val="2D6E0CA5"/>
    <w:rsid w:val="38BF2AF0"/>
    <w:rsid w:val="3A5138D7"/>
    <w:rsid w:val="3C3B424C"/>
    <w:rsid w:val="3EB86309"/>
    <w:rsid w:val="3EE2198D"/>
    <w:rsid w:val="406D3829"/>
    <w:rsid w:val="43A32BE9"/>
    <w:rsid w:val="46D932B4"/>
    <w:rsid w:val="470367B4"/>
    <w:rsid w:val="48755D1A"/>
    <w:rsid w:val="4E093111"/>
    <w:rsid w:val="5391053C"/>
    <w:rsid w:val="57C57EFC"/>
    <w:rsid w:val="5CBD2AB4"/>
    <w:rsid w:val="5F4C457E"/>
    <w:rsid w:val="60B11BDE"/>
    <w:rsid w:val="6280441A"/>
    <w:rsid w:val="6CBF0C42"/>
    <w:rsid w:val="726819B9"/>
    <w:rsid w:val="72DF698B"/>
    <w:rsid w:val="786F4A26"/>
    <w:rsid w:val="7C2B582C"/>
    <w:rsid w:val="7C7B42F1"/>
    <w:rsid w:val="7CA8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Hyperlink"/>
    <w:basedOn w:val="8"/>
    <w:unhideWhenUsed/>
    <w:qFormat/>
    <w:uiPriority w:val="99"/>
    <w:rPr>
      <w:color w:val="000000"/>
      <w:u w:val="none"/>
    </w:rPr>
  </w:style>
  <w:style w:type="character" w:customStyle="1" w:styleId="11">
    <w:name w:val="sx"/>
    <w:basedOn w:val="8"/>
    <w:qFormat/>
    <w:uiPriority w:val="0"/>
    <w:rPr>
      <w:vanish/>
    </w:rPr>
  </w:style>
  <w:style w:type="character" w:customStyle="1" w:styleId="12">
    <w:name w:val="layui-this2"/>
    <w:basedOn w:val="8"/>
    <w:qFormat/>
    <w:uiPriority w:val="0"/>
    <w:rPr>
      <w:bdr w:val="single" w:color="EEEEEE" w:sz="4" w:space="0"/>
      <w:shd w:val="clear" w:fill="FFFFFF"/>
    </w:rPr>
  </w:style>
  <w:style w:type="character" w:customStyle="1" w:styleId="13">
    <w:name w:val="cur"/>
    <w:basedOn w:val="8"/>
    <w:qFormat/>
    <w:uiPriority w:val="0"/>
  </w:style>
  <w:style w:type="character" w:customStyle="1" w:styleId="14">
    <w:name w:val="cur1"/>
    <w:basedOn w:val="8"/>
    <w:qFormat/>
    <w:uiPriority w:val="0"/>
  </w:style>
  <w:style w:type="character" w:customStyle="1" w:styleId="15">
    <w:name w:val="first-child"/>
    <w:basedOn w:val="8"/>
    <w:qFormat/>
    <w:uiPriority w:val="0"/>
  </w:style>
  <w:style w:type="character" w:customStyle="1" w:styleId="16">
    <w:name w:val="hover23"/>
    <w:basedOn w:val="8"/>
    <w:qFormat/>
    <w:uiPriority w:val="0"/>
    <w:rPr>
      <w:u w:val="none"/>
    </w:rPr>
  </w:style>
  <w:style w:type="character" w:customStyle="1" w:styleId="17">
    <w:name w:val="hover24"/>
    <w:basedOn w:val="8"/>
    <w:qFormat/>
    <w:uiPriority w:val="0"/>
    <w:rPr>
      <w:color w:val="FFFFFF"/>
    </w:rPr>
  </w:style>
  <w:style w:type="character" w:customStyle="1" w:styleId="18">
    <w:name w:val="hover25"/>
    <w:basedOn w:val="8"/>
    <w:qFormat/>
    <w:uiPriority w:val="0"/>
    <w:rPr>
      <w:color w:val="5FB878"/>
    </w:rPr>
  </w:style>
  <w:style w:type="character" w:customStyle="1" w:styleId="19">
    <w:name w:val="hover26"/>
    <w:basedOn w:val="8"/>
    <w:qFormat/>
    <w:uiPriority w:val="0"/>
    <w:rPr>
      <w:color w:val="5FB878"/>
    </w:rPr>
  </w:style>
  <w:style w:type="character" w:customStyle="1" w:styleId="20">
    <w:name w:val="hover27"/>
    <w:basedOn w:val="8"/>
    <w:qFormat/>
    <w:uiPriority w:val="0"/>
    <w:rPr>
      <w:color w:val="FFFFFF"/>
    </w:rPr>
  </w:style>
  <w:style w:type="character" w:customStyle="1" w:styleId="21">
    <w:name w:val="layui-this"/>
    <w:basedOn w:val="8"/>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2022-01-10T07:08:00Z</dcterms:created>
  <dc:creator>小卓玛</dc:creator>
  <cp:lastModifiedBy>信息公开科</cp:lastModifiedBy>
  <dcterms:modified xsi:type="dcterms:W3CDTF">2022-01-19T09:37:55Z</dcterms:modified>
  <dc:title>北京市大兴区天宫院街道办事处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