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北京市大兴区财政局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区财政局高度重视政府信息公开工作，把政府信息公开作为改进工作作风和机关形象的重要载体，精心组织，规范进行，有效保障了群众的知情权、参与权、监督权。</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1.组织领导情况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大兴区财政局政府信息公开工作领导小组是我局政府信息公开领导机构，负责组织、指导、协调全局政府信息公开工作。组长由党组成员、主管政务公开副局长担任，办公室、预算科、国库科等相关科室为领导小组成员，承担政府信息公开组织领导工作，下设办公室，配备1名专职工作人员，设立了1个专门的信息申请受理点和公共查阅点。</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2.主动公开情况</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为保障公民、法人和其他组织依法获取政府信息，进一步提高工作透明度，促进依法行政，2022年本局重点围绕《北京市大兴区2022年政务公开工作要点》，全面开展政府信息公开工作，主动公开政府信息46条，包括局领导简介、内设机构、法定职责和预决算、执法公示、价格和收费、财政资金直达基层等重点领域信息公开，公众可通过北京市大兴区人民政府网的各专栏查询到所有主动公开的信息。</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3.依申请公开办理情况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2022年共受理依申请公开5件（含上年结转1件），答复结果为予以公开的3件，占60%；无法提供的1件，占20%；其他处理的1件，占20%；能够准确引用法条、明确告知法律救济渠道、涉法涉诉情况，依法做好政府信息公开答复工作。</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4.政府信息管理情况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认真开展政策文件有效性梳理工作；制定完成本年度政务公开全清单；按要求完成《要点》任务，做好重点领域相关信息公开。规范开展依申请公开，积极受理并妥善答复信息公开申请，通过对依申请公开的受理，提高了对不同类型政府信息的处理能力。</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5.政府信息公开平台建设情况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方面切实履行法定公开义务，依托区政府网站对法定主动公开内容逐条逐项进行梳理，确保公开内容不遗漏、不缺失。另一方面注重拓宽政府信息公开渠道，主动在《北京信息》、《学习强国》、《大兴报》、《大兴信息》等平台公开财政工作信息。</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6.教育培训情况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积极参与政务公开业务培训，组织本单位工作人员学习政务公开相关政策文件，规范业务流程，提高人员队伍的综合素质和业务能力。</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7.监督保障情况</w:t>
      </w:r>
    </w:p>
    <w:p>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区财政局高度重视，将政务公开纳入本单位绩效考核，监督相关工作的落实情况，积极做好信息资源的规范化、标准化管理，规范政府信息公开及保密审查程序，做好社会关注热点问题的信息公开工作，更好地满足社会公众对财政信息公开的需求。</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149.8</w:t>
            </w:r>
          </w:p>
        </w:tc>
      </w:tr>
    </w:tbl>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20" w:lineRule="exact"/>
              <w:ind w:left="0" w:leftChars="0" w:right="0" w:rightChars="0" w:firstLine="0" w:firstLineChars="0"/>
              <w:jc w:val="center"/>
              <w:textAlignment w:val="auto"/>
              <w:outlineLvl w:val="9"/>
              <w:rPr>
                <w:rFonts w:hint="eastAsia" w:ascii="Calibri" w:hAnsi="Calibri" w:cs="Calibri"/>
                <w:kern w:val="0"/>
                <w:sz w:val="20"/>
                <w:szCs w:val="2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20" w:lineRule="exact"/>
              <w:ind w:left="0" w:leftChars="0" w:right="0" w:rightChars="0" w:firstLine="0" w:firstLineChars="0"/>
              <w:jc w:val="center"/>
              <w:textAlignment w:val="auto"/>
              <w:outlineLvl w:val="9"/>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8"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c>
          <w:tcPr>
            <w:tcW w:w="689" w:type="dxa"/>
            <w:tcBorders>
              <w:top w:val="outset" w:color="auto" w:sz="6" w:space="0"/>
              <w:left w:val="nil"/>
              <w:bottom w:val="outset" w:color="auto" w:sz="6" w:space="0"/>
              <w:right w:val="outset" w:color="auto" w:sz="6" w:space="0"/>
            </w:tcBorders>
            <w:vAlign w:val="center"/>
          </w:tcPr>
          <w:p>
            <w:pPr>
              <w:rPr>
                <w:rFonts w:hint="eastAsia" w:ascii="宋体"/>
                <w:sz w:val="24"/>
                <w:szCs w:val="24"/>
              </w:rPr>
            </w:pP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bl>
    <w:p>
      <w:pPr>
        <w:keepNext w:val="0"/>
        <w:keepLines w:val="0"/>
        <w:widowControl/>
        <w:suppressLineNumbers w:val="0"/>
        <w:jc w:val="left"/>
      </w:pP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需进一步加强政府信息公开队伍建设。财政工作具有较强的专业性，需要财政干部在财政业务及信息公开方面具有较强的专业素质。我们在本年度组建了专业化的财政信息队伍，通过财政“青年百课堂”培训品牌，不断加大培训力度，拓展培训方式，扩大培训范围，打造阳光财政。</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2.需进一步深化政府信息公开工作的精准化。工作中按照“应公开、尽公开”原则，加大重点领域信息公开和政策解读力度，丰富公开形式和渠道，加强政民互动交流，不断提升政府信息</w:t>
      </w:r>
      <w:bookmarkStart w:id="0" w:name="_GoBack"/>
      <w:bookmarkEnd w:id="0"/>
      <w:r>
        <w:rPr>
          <w:rFonts w:hint="eastAsia" w:ascii="仿宋_GB2312" w:hAnsi="宋体" w:eastAsia="仿宋_GB2312" w:cs="宋体"/>
          <w:spacing w:val="8"/>
          <w:kern w:val="0"/>
          <w:sz w:val="32"/>
          <w:szCs w:val="32"/>
          <w:lang w:val="en-US" w:eastAsia="zh-CN"/>
        </w:rPr>
        <w:t>公开工作水平，更好地为社会公众提供优质服务。</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eastAsia="zh-CN"/>
        </w:rPr>
        <w:t>我单位本年度发出收费通知的件数和总金额以及实际收取的总金额均为</w:t>
      </w:r>
      <w:r>
        <w:rPr>
          <w:rFonts w:hint="eastAsia" w:ascii="仿宋_GB2312" w:hAnsi="宋体" w:eastAsia="仿宋_GB2312" w:cs="宋体"/>
          <w:spacing w:val="8"/>
          <w:kern w:val="0"/>
          <w:sz w:val="32"/>
          <w:szCs w:val="32"/>
          <w:lang w:val="en-US" w:eastAsia="zh-CN"/>
        </w:rPr>
        <w:t>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21B47"/>
    <w:rsid w:val="0120420A"/>
    <w:rsid w:val="040B402D"/>
    <w:rsid w:val="05761490"/>
    <w:rsid w:val="05B97834"/>
    <w:rsid w:val="0F242FA9"/>
    <w:rsid w:val="14AC1338"/>
    <w:rsid w:val="15221B47"/>
    <w:rsid w:val="1EE24BF6"/>
    <w:rsid w:val="21A579DC"/>
    <w:rsid w:val="289F0864"/>
    <w:rsid w:val="34403EC6"/>
    <w:rsid w:val="42DA5AD1"/>
    <w:rsid w:val="489561FE"/>
    <w:rsid w:val="5084202F"/>
    <w:rsid w:val="523F2F07"/>
    <w:rsid w:val="5B9C4081"/>
    <w:rsid w:val="62D962EE"/>
    <w:rsid w:val="66D21AF3"/>
    <w:rsid w:val="679960AF"/>
    <w:rsid w:val="738825AD"/>
    <w:rsid w:val="74F70BF7"/>
    <w:rsid w:val="7715323E"/>
    <w:rsid w:val="7F15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2022-12-30T10:13:00Z</dcterms:created>
  <dc:creator>彭茜</dc:creator>
  <cp:lastModifiedBy>shen</cp:lastModifiedBy>
  <cp:lastPrinted>2023-01-09T13:24:00Z</cp:lastPrinted>
  <dcterms:modified xsi:type="dcterms:W3CDTF">2023-01-12T04:52:32Z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