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北京市大兴区发展和改革委员会</w:t>
      </w:r>
    </w:p>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72" w:firstLineChars="200"/>
        <w:jc w:val="left"/>
        <w:textAlignment w:val="auto"/>
        <w:outlineLvl w:val="9"/>
        <w:rPr>
          <w:rFonts w:hint="eastAsia"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72" w:firstLineChars="200"/>
        <w:jc w:val="left"/>
        <w:textAlignment w:val="auto"/>
        <w:outlineLvl w:val="9"/>
        <w:rPr>
          <w:rFonts w:ascii="黑体" w:hAnsi="黑体" w:eastAsia="黑体" w:cs="宋体"/>
          <w:color w:val="auto"/>
          <w:spacing w:val="8"/>
          <w:kern w:val="0"/>
          <w:sz w:val="32"/>
          <w:szCs w:val="32"/>
        </w:rPr>
      </w:pPr>
      <w:r>
        <w:rPr>
          <w:rFonts w:ascii="黑体" w:hAnsi="黑体" w:eastAsia="黑体" w:cs="宋体"/>
          <w:color w:val="auto"/>
          <w:spacing w:val="8"/>
          <w:kern w:val="0"/>
          <w:sz w:val="32"/>
          <w:szCs w:val="32"/>
        </w:rPr>
        <w:t>一、总体情况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72" w:firstLineChars="200"/>
        <w:jc w:val="both"/>
        <w:textAlignment w:val="auto"/>
        <w:outlineLvl w:val="9"/>
        <w:rPr>
          <w:rFonts w:hint="eastAsia" w:ascii="仿宋_GB2312" w:hAnsi="宋体" w:eastAsia="仿宋_GB2312" w:cs="宋体"/>
          <w:color w:val="auto"/>
          <w:spacing w:val="8"/>
          <w:kern w:val="0"/>
          <w:sz w:val="32"/>
          <w:szCs w:val="32"/>
          <w:lang w:val="en-US" w:eastAsia="zh-CN"/>
        </w:rPr>
      </w:pPr>
      <w:r>
        <w:rPr>
          <w:rFonts w:hint="eastAsia" w:ascii="仿宋_GB2312" w:hAnsi="宋体" w:eastAsia="仿宋_GB2312" w:cs="宋体"/>
          <w:color w:val="auto"/>
          <w:spacing w:val="8"/>
          <w:kern w:val="0"/>
          <w:sz w:val="32"/>
          <w:szCs w:val="32"/>
          <w:lang w:val="en-US" w:eastAsia="zh-CN"/>
        </w:rPr>
        <w:t>2022年，区发改委深入贯彻落实《政府信息公开条例》，按照区委、区政府统一工作部署，着力抓好政府信息主动公开、依</w:t>
      </w:r>
      <w:r>
        <w:rPr>
          <w:rFonts w:hint="eastAsia" w:ascii="仿宋_GB2312" w:hAnsi="仿宋_GB2312" w:eastAsia="仿宋_GB2312" w:cs="仿宋_GB2312"/>
          <w:color w:val="auto"/>
          <w:spacing w:val="8"/>
          <w:kern w:val="0"/>
          <w:sz w:val="32"/>
          <w:szCs w:val="32"/>
          <w:lang w:val="en-US" w:eastAsia="zh-CN"/>
        </w:rPr>
        <w:t>申请公开、政府信息管理、平台建设等重点工作，</w:t>
      </w:r>
      <w:r>
        <w:rPr>
          <w:rFonts w:hint="eastAsia" w:ascii="仿宋_GB2312" w:hAnsi="仿宋_GB2312" w:eastAsia="仿宋_GB2312" w:cs="仿宋_GB2312"/>
          <w:color w:val="auto"/>
          <w:sz w:val="32"/>
          <w:szCs w:val="32"/>
        </w:rPr>
        <w:t>全面提升政务公开工作的质量和实效。</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bCs/>
          <w:color w:val="auto"/>
          <w:sz w:val="32"/>
          <w:szCs w:val="32"/>
        </w:rPr>
        <w:t>健全组织领导，不断完善信息公开工作机制</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b w:val="0"/>
          <w:bCs w:val="0"/>
          <w:color w:val="auto"/>
          <w:spacing w:val="8"/>
          <w:kern w:val="0"/>
          <w:sz w:val="32"/>
          <w:szCs w:val="32"/>
          <w:lang w:val="en-US" w:eastAsia="zh-CN"/>
        </w:rPr>
        <w:t>我委高度重视政务公开工作，坚持主要领导亲自部署，分管领导抓督导，</w:t>
      </w:r>
      <w:r>
        <w:rPr>
          <w:rFonts w:hint="eastAsia" w:ascii="仿宋_GB2312" w:hAnsi="仿宋_GB2312" w:eastAsia="仿宋_GB2312" w:cs="仿宋_GB2312"/>
          <w:color w:val="auto"/>
          <w:sz w:val="32"/>
          <w:szCs w:val="32"/>
        </w:rPr>
        <w:t>各科室负责人</w:t>
      </w:r>
      <w:r>
        <w:rPr>
          <w:rFonts w:hint="eastAsia" w:ascii="仿宋_GB2312" w:hAnsi="仿宋_GB2312" w:eastAsia="仿宋_GB2312" w:cs="仿宋_GB2312"/>
          <w:b w:val="0"/>
          <w:bCs w:val="0"/>
          <w:color w:val="auto"/>
          <w:spacing w:val="8"/>
          <w:kern w:val="0"/>
          <w:sz w:val="32"/>
          <w:szCs w:val="32"/>
          <w:lang w:val="en-US" w:eastAsia="zh-CN"/>
        </w:rPr>
        <w:t>促落实，</w:t>
      </w:r>
      <w:r>
        <w:rPr>
          <w:rFonts w:hint="eastAsia" w:ascii="仿宋_GB2312" w:hAnsi="仿宋_GB2312" w:eastAsia="仿宋_GB2312" w:cs="仿宋_GB2312"/>
          <w:color w:val="auto"/>
          <w:sz w:val="32"/>
          <w:szCs w:val="32"/>
        </w:rPr>
        <w:t>统筹落实</w:t>
      </w:r>
      <w:r>
        <w:rPr>
          <w:rFonts w:hint="eastAsia" w:ascii="仿宋_GB2312" w:hAnsi="仿宋_GB2312" w:eastAsia="仿宋_GB2312" w:cs="仿宋_GB2312"/>
          <w:color w:val="auto"/>
          <w:sz w:val="32"/>
          <w:szCs w:val="32"/>
          <w:lang w:eastAsia="zh-CN"/>
        </w:rPr>
        <w:t>好我委</w:t>
      </w:r>
      <w:r>
        <w:rPr>
          <w:rFonts w:hint="eastAsia" w:ascii="仿宋_GB2312" w:hAnsi="仿宋_GB2312" w:eastAsia="仿宋_GB2312" w:cs="仿宋_GB2312"/>
          <w:color w:val="auto"/>
          <w:sz w:val="32"/>
          <w:szCs w:val="32"/>
        </w:rPr>
        <w:t>政府信息公开各项工作。严格信息公开审批发布程序，“上网信息不涉密，涉密信息不上网”。</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bCs/>
          <w:color w:val="auto"/>
          <w:sz w:val="32"/>
          <w:szCs w:val="32"/>
        </w:rPr>
        <w:t>政府信息</w:t>
      </w:r>
      <w:r>
        <w:rPr>
          <w:rFonts w:hint="eastAsia" w:ascii="楷体_GB2312" w:hAnsi="楷体_GB2312" w:eastAsia="楷体_GB2312" w:cs="楷体_GB2312"/>
          <w:b/>
          <w:bCs/>
          <w:color w:val="auto"/>
          <w:spacing w:val="8"/>
          <w:kern w:val="0"/>
          <w:sz w:val="32"/>
          <w:szCs w:val="32"/>
          <w:lang w:val="en-US" w:eastAsia="zh-CN"/>
        </w:rPr>
        <w:t>主动公开的情况</w:t>
      </w:r>
      <w:r>
        <w:rPr>
          <w:rFonts w:hint="eastAsia" w:ascii="楷体_GB2312" w:hAnsi="楷体_GB2312" w:eastAsia="楷体_GB2312" w:cs="楷体_GB2312"/>
          <w:b w:val="0"/>
          <w:bCs w:val="0"/>
          <w:color w:val="auto"/>
          <w:spacing w:val="8"/>
          <w:kern w:val="0"/>
          <w:sz w:val="32"/>
          <w:szCs w:val="32"/>
          <w:lang w:val="en-US" w:eastAsia="zh-CN"/>
        </w:rPr>
        <w:t>。</w:t>
      </w:r>
      <w:r>
        <w:rPr>
          <w:rFonts w:hint="eastAsia" w:ascii="仿宋_GB2312" w:hAnsi="仿宋_GB2312" w:eastAsia="仿宋_GB2312" w:cs="仿宋_GB2312"/>
          <w:b w:val="0"/>
          <w:bCs w:val="0"/>
          <w:color w:val="auto"/>
          <w:spacing w:val="8"/>
          <w:kern w:val="0"/>
          <w:sz w:val="32"/>
          <w:szCs w:val="32"/>
          <w:lang w:val="en-US" w:eastAsia="zh-CN"/>
        </w:rPr>
        <w:t>2022年我委</w:t>
      </w:r>
      <w:r>
        <w:rPr>
          <w:rFonts w:hint="eastAsia" w:ascii="仿宋_GB2312" w:hAnsi="仿宋_GB2312" w:eastAsia="仿宋_GB2312" w:cs="仿宋_GB2312"/>
          <w:color w:val="auto"/>
          <w:sz w:val="32"/>
          <w:szCs w:val="32"/>
        </w:rPr>
        <w:t>积极探索传统媒体和新媒体相结合的信息公开工作模式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做到</w:t>
      </w:r>
      <w:r>
        <w:rPr>
          <w:rFonts w:hint="eastAsia" w:ascii="仿宋_GB2312" w:hAnsi="仿宋_GB2312" w:eastAsia="仿宋_GB2312" w:cs="仿宋_GB2312"/>
          <w:color w:val="auto"/>
          <w:sz w:val="32"/>
          <w:szCs w:val="32"/>
          <w:lang w:eastAsia="zh-CN"/>
        </w:rPr>
        <w:t>政府信息公开</w:t>
      </w:r>
      <w:r>
        <w:rPr>
          <w:rFonts w:hint="eastAsia" w:ascii="仿宋_GB2312" w:hAnsi="仿宋_GB2312" w:eastAsia="仿宋_GB2312" w:cs="仿宋_GB2312"/>
          <w:color w:val="auto"/>
          <w:sz w:val="32"/>
          <w:szCs w:val="32"/>
        </w:rPr>
        <w:t>及时、规范、准确。</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b w:val="0"/>
          <w:bCs w:val="0"/>
          <w:color w:val="auto"/>
          <w:spacing w:val="8"/>
          <w:kern w:val="0"/>
          <w:sz w:val="32"/>
          <w:szCs w:val="32"/>
          <w:lang w:val="en-US" w:eastAsia="zh-CN"/>
        </w:rPr>
        <w:t>2022年我委</w:t>
      </w:r>
      <w:r>
        <w:rPr>
          <w:rFonts w:hint="eastAsia" w:ascii="仿宋_GB2312" w:hAnsi="仿宋_GB2312" w:eastAsia="仿宋_GB2312" w:cs="仿宋_GB2312"/>
          <w:b w:val="0"/>
          <w:bCs w:val="0"/>
          <w:color w:val="auto"/>
          <w:spacing w:val="8"/>
          <w:kern w:val="0"/>
          <w:sz w:val="32"/>
          <w:szCs w:val="32"/>
          <w:highlight w:val="none"/>
          <w:lang w:val="en-US" w:eastAsia="zh-CN"/>
        </w:rPr>
        <w:t>主动公开行政许可264项。</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b/>
          <w:bCs/>
          <w:color w:val="auto"/>
          <w:sz w:val="32"/>
          <w:szCs w:val="32"/>
          <w:highlight w:val="none"/>
          <w:lang w:eastAsia="zh-CN"/>
        </w:rPr>
        <w:t>政府信息依申请公开办理情况。</w:t>
      </w:r>
      <w:r>
        <w:rPr>
          <w:rFonts w:hint="eastAsia" w:ascii="仿宋_GB2312" w:hAnsi="仿宋_GB2312" w:eastAsia="仿宋_GB2312" w:cs="仿宋_GB2312"/>
          <w:color w:val="auto"/>
          <w:sz w:val="32"/>
          <w:szCs w:val="32"/>
          <w:highlight w:val="none"/>
          <w:lang w:eastAsia="zh-CN"/>
        </w:rPr>
        <w:t>本年新收政府信息公开申请数量</w:t>
      </w:r>
      <w:r>
        <w:rPr>
          <w:rFonts w:hint="eastAsia" w:ascii="仿宋_GB2312" w:hAnsi="仿宋_GB2312" w:eastAsia="仿宋_GB2312" w:cs="仿宋_GB2312"/>
          <w:color w:val="auto"/>
          <w:sz w:val="32"/>
          <w:szCs w:val="32"/>
          <w:highlight w:val="none"/>
          <w:lang w:val="en-US" w:eastAsia="zh-CN"/>
        </w:rPr>
        <w:t>29件；</w:t>
      </w:r>
      <w:r>
        <w:rPr>
          <w:rFonts w:hint="eastAsia" w:ascii="仿宋_GB2312" w:hAnsi="仿宋_GB2312" w:eastAsia="仿宋_GB2312" w:cs="仿宋_GB2312"/>
          <w:color w:val="auto"/>
          <w:sz w:val="32"/>
          <w:szCs w:val="32"/>
          <w:highlight w:val="none"/>
          <w:lang w:eastAsia="zh-CN"/>
        </w:rPr>
        <w:t>上年结转政府信息公开申请数量</w:t>
      </w:r>
      <w:r>
        <w:rPr>
          <w:rFonts w:hint="eastAsia" w:ascii="仿宋_GB2312" w:hAnsi="仿宋_GB2312" w:eastAsia="仿宋_GB2312" w:cs="仿宋_GB2312"/>
          <w:color w:val="auto"/>
          <w:sz w:val="32"/>
          <w:szCs w:val="32"/>
          <w:highlight w:val="none"/>
          <w:lang w:val="en-US" w:eastAsia="zh-CN"/>
        </w:rPr>
        <w:t>4件；</w:t>
      </w:r>
      <w:r>
        <w:rPr>
          <w:rFonts w:hint="eastAsia" w:ascii="仿宋_GB2312" w:hAnsi="仿宋_GB2312" w:eastAsia="仿宋_GB2312" w:cs="仿宋_GB2312"/>
          <w:color w:val="auto"/>
          <w:sz w:val="32"/>
          <w:szCs w:val="32"/>
          <w:highlight w:val="none"/>
          <w:lang w:eastAsia="zh-CN"/>
        </w:rPr>
        <w:t>结转下年度继续办理</w:t>
      </w:r>
      <w:r>
        <w:rPr>
          <w:rFonts w:hint="eastAsia" w:ascii="仿宋_GB2312" w:hAnsi="仿宋_GB2312" w:eastAsia="仿宋_GB2312" w:cs="仿宋_GB2312"/>
          <w:color w:val="auto"/>
          <w:sz w:val="32"/>
          <w:szCs w:val="32"/>
          <w:highlight w:val="none"/>
          <w:lang w:val="en-US" w:eastAsia="zh-CN"/>
        </w:rPr>
        <w:t>4件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color w:val="auto"/>
          <w:sz w:val="24"/>
          <w:szCs w:val="24"/>
        </w:rPr>
      </w:pPr>
      <w:r>
        <w:rPr>
          <w:rFonts w:hint="eastAsia" w:ascii="楷体_GB2312" w:hAnsi="楷体_GB2312" w:eastAsia="楷体_GB2312" w:cs="楷体_GB2312"/>
          <w:color w:val="auto"/>
          <w:sz w:val="32"/>
          <w:szCs w:val="32"/>
          <w:highlight w:val="none"/>
          <w:lang w:eastAsia="zh-CN"/>
        </w:rPr>
        <w:t>（四）</w:t>
      </w:r>
      <w:r>
        <w:rPr>
          <w:rFonts w:hint="eastAsia" w:ascii="楷体_GB2312" w:hAnsi="楷体_GB2312" w:eastAsia="楷体_GB2312" w:cs="楷体_GB2312"/>
          <w:b/>
          <w:bCs/>
          <w:color w:val="auto"/>
          <w:sz w:val="32"/>
          <w:szCs w:val="32"/>
          <w:highlight w:val="none"/>
          <w:lang w:eastAsia="zh-CN"/>
        </w:rPr>
        <w:t>政府信息管理情况。</w:t>
      </w:r>
      <w:r>
        <w:rPr>
          <w:rFonts w:hint="eastAsia" w:ascii="仿宋_GB2312" w:hAnsi="仿宋_GB2312" w:eastAsia="仿宋_GB2312" w:cs="仿宋_GB2312"/>
          <w:color w:val="auto"/>
          <w:sz w:val="32"/>
          <w:szCs w:val="32"/>
          <w:highlight w:val="none"/>
          <w:lang w:eastAsia="zh-CN"/>
        </w:rPr>
        <w:t>我委高度重视政府信息公开工作，严格</w:t>
      </w:r>
      <w:r>
        <w:rPr>
          <w:rFonts w:hint="eastAsia" w:ascii="仿宋_GB2312" w:hAnsi="仿宋_GB2312" w:eastAsia="仿宋_GB2312" w:cs="仿宋_GB2312"/>
          <w:color w:val="auto"/>
          <w:sz w:val="32"/>
          <w:szCs w:val="32"/>
          <w:highlight w:val="none"/>
          <w:lang w:val="en-US" w:eastAsia="zh-CN"/>
        </w:rPr>
        <w:t>抓好信息公开源头管理，严格</w:t>
      </w:r>
      <w:r>
        <w:rPr>
          <w:rFonts w:hint="eastAsia" w:ascii="仿宋_GB2312" w:hAnsi="仿宋_GB2312" w:eastAsia="仿宋_GB2312" w:cs="仿宋_GB2312"/>
          <w:color w:val="auto"/>
          <w:sz w:val="32"/>
          <w:szCs w:val="32"/>
          <w:highlight w:val="none"/>
          <w:lang w:eastAsia="zh-CN"/>
        </w:rPr>
        <w:t>遵循审核、报送等信息发布程序。每篇公开信息均由业务科</w:t>
      </w:r>
      <w:r>
        <w:rPr>
          <w:rFonts w:hint="eastAsia" w:ascii="仿宋_GB2312" w:hAnsi="仿宋_GB2312" w:eastAsia="仿宋_GB2312" w:cs="仿宋_GB2312"/>
          <w:color w:val="auto"/>
          <w:sz w:val="32"/>
          <w:szCs w:val="32"/>
          <w:lang w:eastAsia="zh-CN"/>
        </w:rPr>
        <w:t>室主管领导</w:t>
      </w:r>
      <w:r>
        <w:rPr>
          <w:rFonts w:hint="eastAsia" w:ascii="仿宋_GB2312" w:hAnsi="仿宋_GB2312" w:eastAsia="仿宋_GB2312" w:cs="仿宋_GB2312"/>
          <w:color w:val="auto"/>
          <w:sz w:val="32"/>
          <w:szCs w:val="32"/>
        </w:rPr>
        <w:t>及信息工作主管领导签字审批后方可公开，做到</w:t>
      </w:r>
      <w:r>
        <w:rPr>
          <w:rFonts w:hint="eastAsia" w:ascii="仿宋_GB2312" w:hAnsi="仿宋_GB2312" w:eastAsia="仿宋_GB2312" w:cs="仿宋_GB2312"/>
          <w:color w:val="auto"/>
          <w:sz w:val="32"/>
          <w:szCs w:val="32"/>
          <w:lang w:eastAsia="zh-CN"/>
        </w:rPr>
        <w:t>公开信息准确无误。</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color w:val="auto"/>
          <w:sz w:val="24"/>
          <w:szCs w:val="24"/>
        </w:rPr>
      </w:pPr>
      <w:r>
        <w:rPr>
          <w:rFonts w:hint="eastAsia" w:ascii="楷体_GB2312" w:hAnsi="楷体_GB2312" w:eastAsia="楷体_GB2312" w:cs="楷体_GB2312"/>
          <w:b w:val="0"/>
          <w:bCs w:val="0"/>
          <w:color w:val="auto"/>
          <w:sz w:val="32"/>
          <w:szCs w:val="32"/>
          <w:lang w:eastAsia="zh-CN"/>
        </w:rPr>
        <w:t>（五）</w:t>
      </w:r>
      <w:r>
        <w:rPr>
          <w:rFonts w:hint="eastAsia" w:ascii="楷体_GB2312" w:hAnsi="楷体_GB2312" w:eastAsia="楷体_GB2312" w:cs="楷体_GB2312"/>
          <w:b/>
          <w:bCs/>
          <w:color w:val="auto"/>
          <w:sz w:val="32"/>
          <w:szCs w:val="32"/>
          <w:lang w:eastAsia="zh-CN"/>
        </w:rPr>
        <w:t>政府</w:t>
      </w:r>
      <w:r>
        <w:rPr>
          <w:rFonts w:hint="eastAsia" w:ascii="楷体_GB2312" w:hAnsi="楷体_GB2312" w:eastAsia="楷体_GB2312" w:cs="楷体_GB2312"/>
          <w:b/>
          <w:bCs/>
          <w:color w:val="auto"/>
          <w:spacing w:val="8"/>
          <w:kern w:val="0"/>
          <w:sz w:val="32"/>
          <w:szCs w:val="32"/>
          <w:lang w:val="en-US" w:eastAsia="zh-CN"/>
        </w:rPr>
        <w:t>信息公开平台建设情况。</w:t>
      </w:r>
      <w:r>
        <w:rPr>
          <w:rFonts w:hint="eastAsia" w:ascii="仿宋_GB2312" w:hAnsi="仿宋_GB2312" w:eastAsia="仿宋_GB2312" w:cs="仿宋_GB2312"/>
          <w:b w:val="0"/>
          <w:bCs w:val="0"/>
          <w:color w:val="auto"/>
          <w:spacing w:val="8"/>
          <w:kern w:val="0"/>
          <w:sz w:val="32"/>
          <w:szCs w:val="32"/>
          <w:lang w:val="en-US" w:eastAsia="zh-CN"/>
        </w:rPr>
        <w:t>为了</w:t>
      </w:r>
      <w:r>
        <w:rPr>
          <w:rFonts w:hint="eastAsia" w:ascii="仿宋_GB2312" w:hAnsi="仿宋_GB2312" w:eastAsia="仿宋_GB2312" w:cs="仿宋_GB2312"/>
          <w:color w:val="auto"/>
          <w:sz w:val="32"/>
          <w:szCs w:val="32"/>
        </w:rPr>
        <w:t>实时更新部门动态</w:t>
      </w:r>
      <w:r>
        <w:rPr>
          <w:rFonts w:hint="eastAsia" w:ascii="仿宋_GB2312" w:hAnsi="仿宋_GB2312" w:eastAsia="仿宋_GB2312" w:cs="仿宋_GB2312"/>
          <w:color w:val="auto"/>
          <w:sz w:val="32"/>
          <w:szCs w:val="32"/>
          <w:lang w:eastAsia="zh-CN"/>
        </w:rPr>
        <w:t>，我委积极运用“大兴发改”公众号，</w:t>
      </w:r>
      <w:r>
        <w:rPr>
          <w:rFonts w:hint="eastAsia" w:ascii="仿宋_GB2312" w:hAnsi="仿宋_GB2312" w:eastAsia="仿宋_GB2312" w:cs="仿宋_GB2312"/>
          <w:color w:val="auto"/>
          <w:sz w:val="32"/>
          <w:szCs w:val="32"/>
        </w:rPr>
        <w:t>严格按要求更新</w:t>
      </w:r>
      <w:r>
        <w:rPr>
          <w:rFonts w:hint="eastAsia" w:ascii="仿宋_GB2312" w:hAnsi="仿宋_GB2312" w:eastAsia="仿宋_GB2312" w:cs="仿宋_GB2312"/>
          <w:color w:val="auto"/>
          <w:sz w:val="32"/>
          <w:szCs w:val="32"/>
          <w:lang w:eastAsia="zh-CN"/>
        </w:rPr>
        <w:t>内容。此外，</w:t>
      </w:r>
      <w:r>
        <w:rPr>
          <w:rFonts w:hint="eastAsia" w:ascii="仿宋_GB2312" w:hAnsi="仿宋_GB2312" w:eastAsia="仿宋_GB2312" w:cs="仿宋_GB2312"/>
          <w:i w:val="0"/>
          <w:caps w:val="0"/>
          <w:color w:val="auto"/>
          <w:spacing w:val="0"/>
          <w:sz w:val="32"/>
          <w:szCs w:val="32"/>
          <w:shd w:val="clear" w:fill="FFFFFF"/>
          <w:lang w:eastAsia="zh-CN"/>
        </w:rPr>
        <w:t>我委还</w:t>
      </w:r>
      <w:r>
        <w:rPr>
          <w:rFonts w:hint="eastAsia" w:ascii="仿宋_GB2312" w:hAnsi="仿宋_GB2312" w:eastAsia="仿宋_GB2312" w:cs="仿宋_GB2312"/>
          <w:i w:val="0"/>
          <w:caps w:val="0"/>
          <w:color w:val="auto"/>
          <w:spacing w:val="0"/>
          <w:sz w:val="32"/>
          <w:szCs w:val="32"/>
          <w:shd w:val="clear" w:fill="FFFFFF"/>
        </w:rPr>
        <w:t>组织开展了</w:t>
      </w:r>
      <w:r>
        <w:rPr>
          <w:rFonts w:hint="eastAsia" w:ascii="仿宋_GB2312" w:hAnsi="仿宋_GB2312" w:eastAsia="仿宋_GB2312" w:cs="仿宋_GB2312"/>
          <w:i w:val="0"/>
          <w:caps w:val="0"/>
          <w:color w:val="auto"/>
          <w:spacing w:val="0"/>
          <w:sz w:val="32"/>
          <w:szCs w:val="32"/>
          <w:shd w:val="clear" w:fill="FFFFFF"/>
          <w:lang w:val="en-US" w:eastAsia="zh-CN"/>
        </w:rPr>
        <w:t>4场</w:t>
      </w:r>
      <w:r>
        <w:rPr>
          <w:rFonts w:hint="eastAsia" w:ascii="仿宋_GB2312" w:hAnsi="仿宋_GB2312" w:eastAsia="仿宋_GB2312" w:cs="仿宋_GB2312"/>
          <w:i w:val="0"/>
          <w:caps w:val="0"/>
          <w:color w:val="auto"/>
          <w:spacing w:val="0"/>
          <w:sz w:val="32"/>
          <w:szCs w:val="32"/>
          <w:shd w:val="clear" w:fill="FFFFFF"/>
        </w:rPr>
        <w:t>“兴企之声”营商环境政策宣讲“政务开放日”活动</w:t>
      </w:r>
      <w:r>
        <w:rPr>
          <w:rFonts w:hint="eastAsia" w:ascii="仿宋_GB2312" w:hAnsi="仿宋_GB2312" w:eastAsia="仿宋_GB2312" w:cs="仿宋_GB2312"/>
          <w:i w:val="0"/>
          <w:caps w:val="0"/>
          <w:color w:val="auto"/>
          <w:spacing w:val="0"/>
          <w:sz w:val="32"/>
          <w:szCs w:val="32"/>
          <w:shd w:val="clear" w:fill="FFFFFF"/>
          <w:lang w:eastAsia="zh-CN"/>
        </w:rPr>
        <w:t>，以线上线下相结合的形式，对标企业需求，全面解读纳税融资、行政审批、知识产权保护及人力资源等各项政策</w:t>
      </w:r>
      <w:r>
        <w:rPr>
          <w:rFonts w:hint="eastAsia" w:ascii="仿宋_GB2312" w:hAnsi="仿宋_GB2312" w:eastAsia="仿宋_GB2312" w:cs="仿宋_GB2312"/>
          <w:i w:val="0"/>
          <w:caps w:val="0"/>
          <w:color w:val="auto"/>
          <w:spacing w:val="0"/>
          <w:sz w:val="32"/>
          <w:szCs w:val="32"/>
          <w:shd w:val="clear" w:fill="FFFFFF"/>
        </w:rPr>
        <w:t>，累计22万人次观看。</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楷体_GB2312" w:hAnsi="楷体_GB2312" w:eastAsia="楷体_GB2312" w:cs="楷体_GB2312"/>
          <w:b w:val="0"/>
          <w:bCs w:val="0"/>
          <w:color w:val="auto"/>
          <w:kern w:val="2"/>
          <w:sz w:val="32"/>
          <w:szCs w:val="32"/>
          <w:lang w:val="en-US" w:eastAsia="zh-CN" w:bidi="ar-SA"/>
        </w:rPr>
        <w:t>（六）</w:t>
      </w:r>
      <w:r>
        <w:rPr>
          <w:rFonts w:hint="eastAsia" w:ascii="仿宋_GB2312" w:hAnsi="仿宋_GB2312" w:eastAsia="仿宋_GB2312" w:cs="仿宋_GB2312"/>
          <w:b/>
          <w:bCs/>
          <w:i w:val="0"/>
          <w:caps w:val="0"/>
          <w:color w:val="auto"/>
          <w:spacing w:val="0"/>
          <w:sz w:val="32"/>
          <w:szCs w:val="32"/>
          <w:shd w:val="clear" w:fill="FFFFFF"/>
          <w:lang w:eastAsia="zh-CN"/>
        </w:rPr>
        <w:t>教育培训情况。</w:t>
      </w:r>
      <w:r>
        <w:rPr>
          <w:rFonts w:hint="eastAsia" w:ascii="仿宋_GB2312" w:hAnsi="仿宋_GB2312" w:eastAsia="仿宋_GB2312" w:cs="仿宋_GB2312"/>
          <w:i w:val="0"/>
          <w:caps w:val="0"/>
          <w:color w:val="auto"/>
          <w:spacing w:val="0"/>
          <w:sz w:val="32"/>
          <w:szCs w:val="32"/>
          <w:shd w:val="clear" w:fill="FFFFFF"/>
          <w:lang w:eastAsia="zh-CN"/>
        </w:rPr>
        <w:t>我委积极安排政务信息人员参加全区政务公开相关培训；并且为进一步提升政务公开业务水平，我委积极组织召开了多次信息工作专题会。其中，我委10月召开了全委信息工作调度会，发改委党组成员、副主任主持会议，各科室科长（负责人）及信息员参会；</w:t>
      </w:r>
      <w:r>
        <w:rPr>
          <w:rFonts w:hint="eastAsia" w:ascii="仿宋_GB2312" w:hAnsi="仿宋_GB2312" w:eastAsia="仿宋_GB2312" w:cs="仿宋_GB2312"/>
          <w:i w:val="0"/>
          <w:caps w:val="0"/>
          <w:color w:val="auto"/>
          <w:spacing w:val="0"/>
          <w:sz w:val="32"/>
          <w:szCs w:val="32"/>
          <w:shd w:val="clear" w:fill="FFFFFF"/>
          <w:lang w:val="en-US" w:eastAsia="zh-CN"/>
        </w:rPr>
        <w:t>11月</w:t>
      </w:r>
      <w:r>
        <w:rPr>
          <w:rFonts w:hint="eastAsia" w:ascii="仿宋_GB2312" w:hAnsi="仿宋_GB2312" w:eastAsia="仿宋_GB2312" w:cs="仿宋_GB2312"/>
          <w:i w:val="0"/>
          <w:caps w:val="0"/>
          <w:color w:val="auto"/>
          <w:spacing w:val="0"/>
          <w:sz w:val="32"/>
          <w:szCs w:val="32"/>
          <w:shd w:val="clear" w:fill="FFFFFF"/>
          <w:lang w:eastAsia="zh-CN"/>
        </w:rPr>
        <w:t>召开信息工作专题培训会，由我委党组成员、副主任主持会议，</w:t>
      </w:r>
      <w:r>
        <w:rPr>
          <w:rFonts w:hint="eastAsia" w:ascii="仿宋_GB2312" w:hAnsi="仿宋_GB2312" w:eastAsia="仿宋_GB2312" w:cs="仿宋_GB2312"/>
          <w:i w:val="0"/>
          <w:caps w:val="0"/>
          <w:color w:val="auto"/>
          <w:spacing w:val="0"/>
          <w:sz w:val="32"/>
          <w:szCs w:val="32"/>
          <w:shd w:val="clear" w:fill="FFFFFF"/>
          <w:lang w:val="en-US" w:eastAsia="zh-CN"/>
        </w:rPr>
        <w:t>18个责任科室科长、信息员参加。</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kern w:val="2"/>
          <w:sz w:val="32"/>
          <w:szCs w:val="32"/>
          <w:lang w:val="en-US" w:eastAsia="zh-CN" w:bidi="ar-SA"/>
        </w:rPr>
        <w:t>（七）</w:t>
      </w:r>
      <w:r>
        <w:rPr>
          <w:rFonts w:hint="eastAsia" w:ascii="仿宋_GB2312" w:hAnsi="仿宋_GB2312" w:eastAsia="仿宋_GB2312" w:cs="仿宋_GB2312"/>
          <w:b/>
          <w:bCs/>
          <w:i w:val="0"/>
          <w:caps w:val="0"/>
          <w:color w:val="auto"/>
          <w:spacing w:val="0"/>
          <w:sz w:val="32"/>
          <w:szCs w:val="32"/>
          <w:shd w:val="clear" w:fill="FFFFFF"/>
          <w:lang w:eastAsia="zh-CN"/>
        </w:rPr>
        <w:t>监督保障。</w:t>
      </w:r>
      <w:r>
        <w:rPr>
          <w:rFonts w:hint="eastAsia" w:ascii="仿宋_GB2312" w:hAnsi="仿宋_GB2312" w:eastAsia="仿宋_GB2312" w:cs="仿宋_GB2312"/>
          <w:b w:val="0"/>
          <w:bCs w:val="0"/>
          <w:color w:val="auto"/>
          <w:spacing w:val="8"/>
          <w:kern w:val="0"/>
          <w:sz w:val="32"/>
          <w:szCs w:val="32"/>
          <w:lang w:val="en-US" w:eastAsia="zh-CN"/>
        </w:rPr>
        <w:t>我委严格落实《区发改委微信公众号信息报送发布审核管理制度》，</w:t>
      </w:r>
      <w:r>
        <w:rPr>
          <w:rFonts w:hint="eastAsia" w:ascii="仿宋_GB2312" w:hAnsi="仿宋_GB2312" w:eastAsia="仿宋_GB2312" w:cs="仿宋_GB2312"/>
          <w:b w:val="0"/>
          <w:bCs w:val="0"/>
          <w:color w:val="auto"/>
          <w:spacing w:val="8"/>
          <w:kern w:val="0"/>
          <w:sz w:val="32"/>
          <w:szCs w:val="32"/>
          <w:highlight w:val="none"/>
          <w:lang w:val="en-US" w:eastAsia="zh-CN"/>
        </w:rPr>
        <w:t>坚持</w:t>
      </w:r>
      <w:r>
        <w:rPr>
          <w:rFonts w:hint="eastAsia" w:ascii="仿宋_GB2312" w:hAnsi="仿宋_GB2312" w:eastAsia="仿宋_GB2312" w:cs="仿宋_GB2312"/>
          <w:color w:val="auto"/>
          <w:sz w:val="32"/>
          <w:szCs w:val="32"/>
          <w:highlight w:val="none"/>
        </w:rPr>
        <w:t>做好信息</w:t>
      </w:r>
      <w:r>
        <w:rPr>
          <w:rFonts w:hint="eastAsia" w:ascii="仿宋_GB2312" w:hAnsi="仿宋_GB2312" w:eastAsia="仿宋_GB2312" w:cs="仿宋_GB2312"/>
          <w:color w:val="auto"/>
          <w:sz w:val="32"/>
          <w:szCs w:val="32"/>
          <w:highlight w:val="none"/>
          <w:lang w:eastAsia="zh-CN"/>
        </w:rPr>
        <w:t>发布前的</w:t>
      </w:r>
      <w:r>
        <w:rPr>
          <w:rFonts w:hint="eastAsia" w:ascii="仿宋_GB2312" w:hAnsi="仿宋_GB2312" w:eastAsia="仿宋_GB2312" w:cs="仿宋_GB2312"/>
          <w:color w:val="auto"/>
          <w:sz w:val="32"/>
          <w:szCs w:val="32"/>
          <w:highlight w:val="none"/>
        </w:rPr>
        <w:t>源头认定</w:t>
      </w:r>
      <w:r>
        <w:rPr>
          <w:rFonts w:hint="eastAsia" w:ascii="仿宋_GB2312" w:hAnsi="仿宋_GB2312" w:eastAsia="仿宋_GB2312" w:cs="仿宋_GB2312"/>
          <w:color w:val="auto"/>
          <w:sz w:val="32"/>
          <w:szCs w:val="32"/>
          <w:highlight w:val="none"/>
          <w:lang w:eastAsia="zh-CN"/>
        </w:rPr>
        <w:t>和内容把关，确保发布信息的</w:t>
      </w:r>
      <w:r>
        <w:rPr>
          <w:rFonts w:hint="eastAsia" w:ascii="仿宋_GB2312" w:hAnsi="仿宋_GB2312" w:eastAsia="仿宋_GB2312" w:cs="仿宋_GB2312"/>
          <w:color w:val="auto"/>
          <w:sz w:val="32"/>
          <w:szCs w:val="32"/>
          <w:highlight w:val="none"/>
        </w:rPr>
        <w:t>准确</w:t>
      </w:r>
      <w:r>
        <w:rPr>
          <w:rFonts w:hint="eastAsia" w:ascii="仿宋_GB2312" w:hAnsi="仿宋_GB2312" w:eastAsia="仿宋_GB2312" w:cs="仿宋_GB2312"/>
          <w:color w:val="auto"/>
          <w:sz w:val="32"/>
          <w:szCs w:val="32"/>
          <w:highlight w:val="none"/>
          <w:lang w:eastAsia="zh-CN"/>
        </w:rPr>
        <w:t>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畅通公众监督渠道，</w:t>
      </w:r>
      <w:r>
        <w:rPr>
          <w:rFonts w:hint="eastAsia" w:ascii="仿宋_GB2312" w:hAnsi="仿宋_GB2312" w:eastAsia="仿宋_GB2312" w:cs="仿宋_GB2312"/>
          <w:color w:val="auto"/>
          <w:sz w:val="32"/>
          <w:szCs w:val="32"/>
          <w:lang w:eastAsia="zh-CN"/>
        </w:rPr>
        <w:t>通过电话、公众号留言等方式</w:t>
      </w:r>
      <w:r>
        <w:rPr>
          <w:rFonts w:hint="eastAsia" w:ascii="仿宋_GB2312" w:hAnsi="仿宋_GB2312" w:eastAsia="仿宋_GB2312" w:cs="仿宋_GB2312"/>
          <w:color w:val="auto"/>
          <w:sz w:val="32"/>
          <w:szCs w:val="32"/>
        </w:rPr>
        <w:t>广泛听取公众意见，发现问题及时整改，严格确保政府信息公开监督措施有力、保障到位。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72" w:firstLineChars="200"/>
        <w:textAlignment w:val="auto"/>
        <w:rPr>
          <w:rFonts w:hint="eastAsia" w:ascii="黑体" w:hAnsi="黑体" w:eastAsia="黑体" w:cs="黑体"/>
          <w:sz w:val="32"/>
          <w:szCs w:val="32"/>
        </w:rPr>
      </w:pPr>
      <w:r>
        <w:rPr>
          <w:rFonts w:hint="eastAsia" w:ascii="黑体" w:hAnsi="黑体" w:eastAsia="黑体" w:cs="宋体"/>
          <w:spacing w:val="8"/>
          <w:kern w:val="0"/>
          <w:sz w:val="32"/>
          <w:szCs w:val="32"/>
          <w:lang w:eastAsia="zh-CN"/>
        </w:rPr>
        <w:t>二、</w:t>
      </w:r>
      <w:r>
        <w:rPr>
          <w:rFonts w:hint="eastAsia" w:ascii="黑体" w:hAnsi="黑体" w:eastAsia="黑体" w:cs="宋体"/>
          <w:spacing w:val="8"/>
          <w:kern w:val="0"/>
          <w:sz w:val="32"/>
          <w:szCs w:val="32"/>
        </w:rPr>
        <w:t>主动公开政府信息情况</w:t>
      </w:r>
    </w:p>
    <w:tbl>
      <w:tblPr>
        <w:tblStyle w:val="5"/>
        <w:tblpPr w:leftFromText="180" w:rightFromText="180" w:vertAnchor="text" w:horzAnchor="page" w:tblpX="1221" w:tblpY="203"/>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lang w:val="en-US" w:eastAsia="zh-CN"/>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5"/>
        <w:tblpPr w:leftFromText="180" w:rightFromText="180" w:vertAnchor="text" w:horzAnchor="page" w:tblpX="1231" w:tblpY="79"/>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lang w:val="en-US"/>
              </w:rPr>
            </w:pPr>
            <w:r>
              <w:rPr>
                <w:rFonts w:hint="default" w:ascii="Calibri" w:hAnsi="Calibri" w:eastAsia="等线" w:cs="Calibri"/>
                <w:i w:val="0"/>
                <w:color w:val="000000"/>
                <w:kern w:val="0"/>
                <w:sz w:val="20"/>
                <w:szCs w:val="20"/>
                <w:u w:val="none"/>
                <w:lang w:val="en-US" w:eastAsia="zh-CN" w:bidi="ar"/>
              </w:rPr>
              <w:t>24</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lang w:val="en-US"/>
              </w:rP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lang w:val="en-US"/>
              </w:rPr>
            </w:pPr>
            <w:r>
              <w:rPr>
                <w:rFonts w:hint="default" w:ascii="Calibri" w:hAnsi="Calibri" w:eastAsia="等线" w:cs="Calibri"/>
                <w:i w:val="0"/>
                <w:color w:val="000000"/>
                <w:kern w:val="0"/>
                <w:sz w:val="20"/>
                <w:szCs w:val="20"/>
                <w:u w:val="none"/>
                <w:lang w:val="en-US" w:eastAsia="zh-CN" w:bidi="ar"/>
              </w:rPr>
              <w:t>28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eastAsia" w:eastAsia="宋体"/>
                <w:lang w:val="en-US" w:eastAsia="zh-CN"/>
              </w:rPr>
            </w:pPr>
            <w:r>
              <w:rPr>
                <w:rFonts w:hint="default" w:ascii="Calibri" w:hAnsi="Calibri" w:eastAsia="等线" w:cs="Calibri"/>
                <w:i w:val="0"/>
                <w:color w:val="000000"/>
                <w:kern w:val="0"/>
                <w:sz w:val="20"/>
                <w:szCs w:val="20"/>
                <w:u w:val="none"/>
                <w:lang w:val="en-US" w:eastAsia="zh-CN" w:bidi="ar"/>
              </w:rPr>
              <w:t>5</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eastAsia" w:eastAsia="宋体"/>
                <w:lang w:val="en-US" w:eastAsia="zh-CN"/>
              </w:rPr>
            </w:pPr>
            <w:r>
              <w:rPr>
                <w:rFonts w:hint="default" w:ascii="Calibri" w:hAnsi="Calibri" w:eastAsia="等线" w:cs="Calibri"/>
                <w:i w:val="0"/>
                <w:color w:val="000000"/>
                <w:kern w:val="0"/>
                <w:sz w:val="20"/>
                <w:szCs w:val="20"/>
                <w:u w:val="none"/>
                <w:lang w:val="en-US" w:eastAsia="zh-CN" w:bidi="ar"/>
              </w:rPr>
              <w:t>5</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lang w:val="en-US"/>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eastAsia" w:eastAsia="宋体"/>
                <w:lang w:val="en-US" w:eastAsia="zh-CN"/>
              </w:rP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22</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lang w:val="en-US"/>
              </w:rPr>
            </w:pPr>
            <w:r>
              <w:rPr>
                <w:rFonts w:hint="default" w:ascii="Calibri" w:hAnsi="Calibri" w:eastAsia="等线" w:cs="Calibri"/>
                <w:i w:val="0"/>
                <w:color w:val="000000"/>
                <w:kern w:val="0"/>
                <w:sz w:val="20"/>
                <w:szCs w:val="20"/>
                <w:u w:val="none"/>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Calibri" w:hAnsi="Calibri" w:eastAsia="等线" w:cs="Calibri"/>
                <w:i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lang w:val="en-US"/>
              </w:rPr>
            </w:pPr>
            <w:r>
              <w:rPr>
                <w:rFonts w:hint="default" w:ascii="Calibri" w:hAnsi="Calibri" w:eastAsia="等线" w:cs="Calibri"/>
                <w:i w:val="0"/>
                <w:color w:val="000000"/>
                <w:kern w:val="0"/>
                <w:sz w:val="20"/>
                <w:szCs w:val="20"/>
                <w:u w:val="none"/>
                <w:lang w:val="en-US" w:eastAsia="zh-CN" w:bidi="ar"/>
              </w:rPr>
              <w:t>28</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lang w:val="en-US"/>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lang w:val="en-US"/>
              </w:rP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lang w:val="en-US"/>
              </w:rPr>
            </w:pPr>
            <w:r>
              <w:rPr>
                <w:rFonts w:hint="default" w:ascii="Calibri" w:hAnsi="Calibri" w:eastAsia="等线" w:cs="Calibri"/>
                <w:i w:val="0"/>
                <w:color w:val="000000"/>
                <w:kern w:val="0"/>
                <w:sz w:val="20"/>
                <w:szCs w:val="20"/>
                <w:u w:val="none"/>
                <w:lang w:val="en-US" w:eastAsia="zh-CN" w:bidi="ar"/>
              </w:rPr>
              <w:t>29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jc w:val="center"/>
              <w:textAlignment w:val="center"/>
              <w:rPr>
                <w:rFonts w:hint="eastAsia" w:ascii="Calibri" w:hAnsi="Calibri" w:cs="Calibri"/>
                <w:kern w:val="0"/>
                <w:sz w:val="20"/>
                <w:szCs w:val="20"/>
                <w:lang w:val="en-US" w:eastAsia="zh-CN" w:bidi="ar"/>
              </w:rPr>
            </w:pPr>
            <w:r>
              <w:rPr>
                <w:rFonts w:hint="default" w:ascii="Calibri" w:hAnsi="Calibri" w:eastAsia="等线" w:cs="Calibri"/>
                <w:i w:val="0"/>
                <w:color w:val="000000"/>
                <w:kern w:val="0"/>
                <w:sz w:val="20"/>
                <w:szCs w:val="20"/>
                <w:u w:val="none"/>
                <w:lang w:val="en-US" w:eastAsia="zh-CN" w:bidi="ar"/>
              </w:rPr>
              <w:t>1</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jc w:val="center"/>
              <w:textAlignment w:val="center"/>
              <w:rPr>
                <w:rFonts w:hint="eastAsia" w:ascii="Calibri" w:hAnsi="Calibri" w:cs="Calibri"/>
                <w:kern w:val="0"/>
                <w:sz w:val="20"/>
                <w:szCs w:val="20"/>
                <w:lang w:val="en-US" w:eastAsia="zh-CN" w:bidi="ar"/>
              </w:rPr>
            </w:pPr>
            <w:r>
              <w:rPr>
                <w:rFonts w:hint="default" w:ascii="Calibri" w:hAnsi="Calibri" w:eastAsia="等线" w:cs="Calibri"/>
                <w:i w:val="0"/>
                <w:color w:val="000000"/>
                <w:kern w:val="0"/>
                <w:sz w:val="20"/>
                <w:szCs w:val="20"/>
                <w:u w:val="none"/>
                <w:lang w:val="en-US" w:eastAsia="zh-CN" w:bidi="ar"/>
              </w:rPr>
              <w:t>3</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jc w:val="center"/>
              <w:textAlignment w:val="center"/>
              <w:rPr>
                <w:rFonts w:hint="eastAsia" w:ascii="Calibri" w:hAnsi="Calibri" w:cs="Calibri"/>
                <w:kern w:val="0"/>
                <w:sz w:val="20"/>
                <w:szCs w:val="20"/>
                <w:lang w:val="en-US" w:eastAsia="zh-CN" w:bidi="ar"/>
              </w:rPr>
            </w:pPr>
            <w:r>
              <w:rPr>
                <w:rFonts w:hint="default" w:ascii="Calibri" w:hAnsi="Calibri" w:eastAsia="等线" w:cs="Calibri"/>
                <w:i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jc w:val="center"/>
              <w:textAlignment w:val="center"/>
              <w:rPr>
                <w:rFonts w:hint="default" w:ascii="Calibri" w:hAnsi="Calibri" w:cs="Calibri"/>
                <w:kern w:val="0"/>
                <w:sz w:val="20"/>
                <w:szCs w:val="20"/>
                <w:lang w:val="en-US" w:eastAsia="zh-CN" w:bidi="ar"/>
              </w:rPr>
            </w:pPr>
            <w:r>
              <w:rPr>
                <w:rFonts w:hint="default" w:ascii="Calibri" w:hAnsi="Calibri" w:eastAsia="等线" w:cs="Calibri"/>
                <w:i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jc w:val="center"/>
              <w:textAlignment w:val="center"/>
              <w:rPr>
                <w:rFonts w:hint="eastAsia" w:ascii="Calibri" w:hAnsi="Calibri" w:cs="Calibri"/>
                <w:kern w:val="0"/>
                <w:sz w:val="20"/>
                <w:szCs w:val="20"/>
                <w:lang w:val="en-US" w:eastAsia="zh-CN" w:bidi="ar"/>
              </w:rPr>
            </w:pPr>
            <w:r>
              <w:rPr>
                <w:rFonts w:hint="default" w:ascii="Calibri" w:hAnsi="Calibri" w:eastAsia="等线" w:cs="Calibri"/>
                <w:i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jc w:val="center"/>
              <w:textAlignment w:val="center"/>
              <w:rPr>
                <w:rFonts w:hint="eastAsia" w:ascii="Calibri" w:hAnsi="Calibri" w:cs="Calibri"/>
                <w:kern w:val="0"/>
                <w:sz w:val="20"/>
                <w:szCs w:val="20"/>
                <w:lang w:val="en-US" w:eastAsia="zh-CN" w:bidi="ar"/>
              </w:rPr>
            </w:pPr>
            <w:r>
              <w:rPr>
                <w:rFonts w:hint="default" w:ascii="Calibri" w:hAnsi="Calibri" w:eastAsia="等线" w:cs="Calibri"/>
                <w:i w:val="0"/>
                <w:color w:val="000000"/>
                <w:kern w:val="0"/>
                <w:sz w:val="20"/>
                <w:szCs w:val="20"/>
                <w:u w:val="none"/>
                <w:lang w:val="en-US" w:eastAsia="zh-CN" w:bidi="ar"/>
              </w:rPr>
              <w:t>0</w:t>
            </w:r>
          </w:p>
        </w:tc>
        <w:tc>
          <w:tcPr>
            <w:tcW w:w="689" w:type="dxa"/>
            <w:tcBorders>
              <w:top w:val="outset" w:color="auto" w:sz="6" w:space="0"/>
              <w:left w:val="nil"/>
              <w:bottom w:val="outset" w:color="auto" w:sz="6" w:space="0"/>
              <w:right w:val="outset" w:color="auto" w:sz="6" w:space="0"/>
            </w:tcBorders>
            <w:vAlign w:val="center"/>
          </w:tcPr>
          <w:p>
            <w:pPr>
              <w:keepNext w:val="0"/>
              <w:keepLines w:val="0"/>
              <w:widowControl/>
              <w:suppressLineNumbers w:val="0"/>
              <w:jc w:val="center"/>
              <w:textAlignment w:val="center"/>
              <w:rPr>
                <w:rFonts w:hint="default" w:ascii="Calibri" w:hAnsi="Calibri" w:cs="Calibri"/>
                <w:kern w:val="0"/>
                <w:sz w:val="20"/>
                <w:szCs w:val="20"/>
                <w:lang w:val="en-US" w:eastAsia="zh-CN" w:bidi="ar"/>
              </w:rPr>
            </w:pPr>
            <w:r>
              <w:rPr>
                <w:rFonts w:hint="default" w:ascii="Calibri" w:hAnsi="Calibri" w:eastAsia="等线" w:cs="Calibri"/>
                <w:i w:val="0"/>
                <w:color w:val="000000"/>
                <w:kern w:val="0"/>
                <w:sz w:val="20"/>
                <w:szCs w:val="20"/>
                <w:u w:val="none"/>
                <w:lang w:val="en-US" w:eastAsia="zh-CN" w:bidi="ar"/>
              </w:rPr>
              <w:t>4</w:t>
            </w:r>
          </w:p>
        </w:tc>
      </w:tr>
    </w:tbl>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right="0" w:rightChars="0"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存在的主要问题及改进情况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72" w:firstLineChars="200"/>
        <w:jc w:val="both"/>
        <w:textAlignment w:val="auto"/>
        <w:outlineLvl w:val="9"/>
        <w:rPr>
          <w:rFonts w:hint="eastAsia" w:ascii="仿宋_GB2312" w:hAnsi="仿宋_GB2312" w:eastAsia="仿宋_GB2312" w:cs="仿宋_GB2312"/>
          <w:b w:val="0"/>
          <w:bCs w:val="0"/>
          <w:color w:val="auto"/>
          <w:spacing w:val="8"/>
          <w:kern w:val="0"/>
          <w:sz w:val="32"/>
          <w:szCs w:val="32"/>
          <w:lang w:val="en-US" w:eastAsia="zh-CN"/>
        </w:rPr>
      </w:pPr>
      <w:r>
        <w:rPr>
          <w:rFonts w:hint="eastAsia" w:ascii="仿宋_GB2312" w:hAnsi="仿宋_GB2312" w:eastAsia="仿宋_GB2312" w:cs="仿宋_GB2312"/>
          <w:b w:val="0"/>
          <w:bCs w:val="0"/>
          <w:color w:val="auto"/>
          <w:spacing w:val="8"/>
          <w:kern w:val="0"/>
          <w:sz w:val="32"/>
          <w:szCs w:val="32"/>
          <w:lang w:val="en-US" w:eastAsia="zh-CN"/>
        </w:rPr>
        <w:t xml:space="preserve">2022年我委政府信息公开工作虽取得一定成效，但也有薄弱环节，主要表现在主动公开信息的内容不够丰富。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72"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8"/>
          <w:kern w:val="0"/>
          <w:sz w:val="32"/>
          <w:szCs w:val="32"/>
          <w:lang w:val="en-US" w:eastAsia="zh-CN"/>
        </w:rPr>
        <w:t>一是我委</w:t>
      </w:r>
      <w:r>
        <w:rPr>
          <w:rFonts w:hint="eastAsia" w:ascii="仿宋_GB2312" w:hAnsi="仿宋_GB2312" w:eastAsia="仿宋_GB2312" w:cs="仿宋_GB2312"/>
          <w:b w:val="0"/>
          <w:bCs w:val="0"/>
          <w:color w:val="auto"/>
          <w:sz w:val="32"/>
          <w:szCs w:val="32"/>
        </w:rPr>
        <w:t>增强主动公开</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意识，</w:t>
      </w:r>
      <w:r>
        <w:rPr>
          <w:rFonts w:hint="eastAsia" w:ascii="仿宋_GB2312" w:hAnsi="仿宋_GB2312" w:eastAsia="仿宋_GB2312" w:cs="仿宋_GB2312"/>
          <w:b w:val="0"/>
          <w:bCs w:val="0"/>
          <w:color w:val="auto"/>
          <w:sz w:val="32"/>
          <w:szCs w:val="32"/>
          <w:lang w:eastAsia="zh-CN"/>
        </w:rPr>
        <w:t>调动各业务科室，</w:t>
      </w:r>
      <w:r>
        <w:rPr>
          <w:rFonts w:hint="eastAsia" w:ascii="仿宋_GB2312" w:hAnsi="仿宋_GB2312" w:eastAsia="仿宋_GB2312" w:cs="仿宋_GB2312"/>
          <w:b w:val="0"/>
          <w:bCs w:val="0"/>
          <w:color w:val="auto"/>
          <w:sz w:val="32"/>
          <w:szCs w:val="32"/>
        </w:rPr>
        <w:t>多渠道挖掘信息点，加大信息报送、审查、公开力度，不断提高信息公开质量</w:t>
      </w:r>
      <w:r>
        <w:rPr>
          <w:rFonts w:hint="eastAsia" w:ascii="仿宋_GB2312" w:hAnsi="仿宋_GB2312" w:eastAsia="仿宋_GB2312" w:cs="仿宋_GB2312"/>
          <w:b w:val="0"/>
          <w:bCs w:val="0"/>
          <w:color w:val="auto"/>
          <w:sz w:val="32"/>
          <w:szCs w:val="32"/>
          <w:lang w:eastAsia="zh-CN"/>
        </w:rPr>
        <w:t>和频率</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二是</w:t>
      </w:r>
      <w:r>
        <w:rPr>
          <w:rFonts w:hint="eastAsia" w:ascii="仿宋_GB2312" w:hAnsi="仿宋_GB2312" w:eastAsia="仿宋_GB2312" w:cs="仿宋_GB2312"/>
          <w:b w:val="0"/>
          <w:bCs w:val="0"/>
          <w:color w:val="auto"/>
          <w:sz w:val="32"/>
          <w:szCs w:val="32"/>
          <w:lang w:eastAsia="zh-CN"/>
        </w:rPr>
        <w:t>提高信息报送工作的重视度，各科科务会进行了专题研究部署，确保全年信息工作高质高效完成。三是，我委完善落实信息工作“五项制度”，</w:t>
      </w:r>
      <w:bookmarkStart w:id="0" w:name="_GoBack"/>
      <w:bookmarkEnd w:id="0"/>
      <w:r>
        <w:rPr>
          <w:rFonts w:hint="eastAsia" w:ascii="仿宋_GB2312" w:hAnsi="仿宋_GB2312" w:eastAsia="仿宋_GB2312" w:cs="仿宋_GB2312"/>
          <w:b w:val="0"/>
          <w:bCs w:val="0"/>
          <w:color w:val="auto"/>
          <w:sz w:val="32"/>
          <w:szCs w:val="32"/>
          <w:lang w:eastAsia="zh-CN"/>
        </w:rPr>
        <w:t>年度信息计划制度，科务会信息点研究制度，信息点周调度制度，信息周提示月通报制度，信息工作培训制度，努力形成“人人都是信息员、事事可挖信息点”的工作氛围。</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72" w:firstLineChars="200"/>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pPr>
      <w:r>
        <w:rPr>
          <w:rFonts w:hint="eastAsia" w:ascii="仿宋_GB2312" w:hAnsi="仿宋_GB2312" w:eastAsia="仿宋_GB2312" w:cs="仿宋_GB2312"/>
          <w:color w:val="auto"/>
          <w:kern w:val="2"/>
          <w:sz w:val="32"/>
          <w:szCs w:val="32"/>
          <w:lang w:val="en-US" w:eastAsia="zh-CN" w:bidi="ar-SA"/>
        </w:rPr>
        <w:t>我单位本年度发出收费通知的件数和总金额以及实际收取的总金额均为0。</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67044"/>
    <w:multiLevelType w:val="singleLevel"/>
    <w:tmpl w:val="63B67044"/>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91BBC"/>
    <w:rsid w:val="33691BBC"/>
    <w:rsid w:val="36A22C79"/>
    <w:rsid w:val="3A2D70BB"/>
    <w:rsid w:val="3B2F3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2023-01-10T09:40:00Z</dcterms:created>
  <dc:creator>发改委发文</dc:creator>
  <cp:lastModifiedBy>发改委发文</cp:lastModifiedBy>
  <cp:lastPrinted>2023-01-10T09:41:00Z</cp:lastPrinted>
  <dcterms:modified xsi:type="dcterms:W3CDTF">2023-01-12T03:00:43Z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