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大兴区</w:t>
      </w:r>
      <w:r>
        <w:rPr>
          <w:rFonts w:ascii="方正小标宋简体" w:eastAsia="方正小标宋简体"/>
          <w:color w:val="000000" w:themeColor="text1"/>
          <w:sz w:val="44"/>
          <w:szCs w:val="44"/>
          <w14:textFill>
            <w14:solidFill>
              <w14:schemeClr w14:val="tx1"/>
            </w14:solidFill>
          </w14:textFill>
        </w:rPr>
        <w:t>教育委员会</w:t>
      </w:r>
    </w:p>
    <w:p>
      <w:pPr>
        <w:spacing w:line="560" w:lineRule="exact"/>
        <w:jc w:val="center"/>
        <w:rPr>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2022年政府信息公开工作年度报告</w:t>
      </w:r>
      <w:r>
        <w:rPr>
          <w:rFonts w:hint="eastAsia" w:ascii="微软雅黑" w:hAnsi="微软雅黑" w:eastAsia="微软雅黑" w:cs="宋体"/>
          <w:color w:val="000000" w:themeColor="text1"/>
          <w:kern w:val="0"/>
          <w:sz w:val="24"/>
          <w:szCs w:val="24"/>
          <w14:textFill>
            <w14:solidFill>
              <w14:schemeClr w14:val="tx1"/>
            </w14:solidFill>
          </w14:textFill>
        </w:rPr>
        <w:t xml:space="preserve"> </w:t>
      </w:r>
      <w:r>
        <w:rPr>
          <w:rFonts w:hint="eastAsia" w:ascii="微软雅黑" w:hAnsi="微软雅黑" w:eastAsia="微软雅黑" w:cs="宋体"/>
          <w:color w:val="000000" w:themeColor="text1"/>
          <w:kern w:val="0"/>
          <w:sz w:val="32"/>
          <w:szCs w:val="32"/>
          <w14:textFill>
            <w14:solidFill>
              <w14:schemeClr w14:val="tx1"/>
            </w14:solidFill>
          </w14:textFill>
        </w:rPr>
        <w:t xml:space="preserve">  </w:t>
      </w:r>
    </w:p>
    <w:p>
      <w:pPr>
        <w:widowControl/>
        <w:spacing w:line="560" w:lineRule="exact"/>
        <w:jc w:val="left"/>
        <w:rPr>
          <w:rFonts w:ascii="微软雅黑" w:hAnsi="微软雅黑" w:eastAsia="微软雅黑" w:cs="宋体"/>
          <w:color w:val="000000" w:themeColor="text1"/>
          <w:kern w:val="0"/>
          <w:sz w:val="32"/>
          <w:szCs w:val="32"/>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 xml:space="preserve">  </w:t>
      </w:r>
      <w:r>
        <w:rPr>
          <w:rFonts w:hint="eastAsia" w:ascii="微软雅黑" w:hAnsi="微软雅黑" w:eastAsia="微软雅黑" w:cs="宋体"/>
          <w:color w:val="000000" w:themeColor="text1"/>
          <w:kern w:val="0"/>
          <w:sz w:val="32"/>
          <w:szCs w:val="32"/>
          <w14:textFill>
            <w14:solidFill>
              <w14:schemeClr w14:val="tx1"/>
            </w14:solidFill>
          </w14:textFill>
        </w:rPr>
        <w:t xml:space="preserve">   </w:t>
      </w:r>
    </w:p>
    <w:p>
      <w:pPr>
        <w:widowControl/>
        <w:spacing w:line="560" w:lineRule="exact"/>
        <w:ind w:firstLine="672" w:firstLineChars="200"/>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一、总体情况</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1.组织领导情况</w:t>
      </w:r>
    </w:p>
    <w:p>
      <w:pPr>
        <w:widowControl/>
        <w:spacing w:line="560" w:lineRule="exact"/>
        <w:ind w:firstLine="675"/>
        <w:rPr>
          <w:rFonts w:ascii="仿宋_GB2312" w:hAnsi="宋体" w:eastAsia="仿宋_GB2312" w:cs="宋体"/>
          <w:color w:val="000000" w:themeColor="text1"/>
          <w:spacing w:val="8"/>
          <w:kern w:val="0"/>
          <w:sz w:val="32"/>
          <w:szCs w:val="32"/>
          <w14:textFill>
            <w14:solidFill>
              <w14:schemeClr w14:val="tx1"/>
            </w14:solidFill>
          </w14:textFill>
        </w:rPr>
      </w:pPr>
      <w:r>
        <w:rPr>
          <w:rFonts w:ascii="仿宋_GB2312" w:hAnsi="宋体" w:eastAsia="仿宋_GB2312" w:cs="宋体"/>
          <w:color w:val="000000" w:themeColor="text1"/>
          <w:spacing w:val="8"/>
          <w:kern w:val="0"/>
          <w:sz w:val="32"/>
          <w:szCs w:val="32"/>
          <w14:textFill>
            <w14:solidFill>
              <w14:schemeClr w14:val="tx1"/>
            </w14:solidFill>
          </w14:textFill>
        </w:rPr>
        <w:t>2022</w:t>
      </w:r>
      <w:r>
        <w:rPr>
          <w:rFonts w:hint="eastAsia" w:ascii="仿宋_GB2312" w:hAnsi="宋体" w:eastAsia="仿宋_GB2312" w:cs="宋体"/>
          <w:color w:val="000000" w:themeColor="text1"/>
          <w:spacing w:val="8"/>
          <w:kern w:val="0"/>
          <w:sz w:val="32"/>
          <w:szCs w:val="32"/>
          <w14:textFill>
            <w14:solidFill>
              <w14:schemeClr w14:val="tx1"/>
            </w14:solidFill>
          </w14:textFill>
        </w:rPr>
        <w:t>年，我委认真贯彻落实《政府信息公开条例》要求</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切实按照政务公开工作要点，立足部门职能，进一步健全组织机构，成立由主管领导任组长的政务公开领导小组，领导小组下设办公室，统筹协调政府信息公开工作，保障政府信息公开工作依法、及时、准确、有序开展。</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2</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主动公开情况</w:t>
      </w:r>
    </w:p>
    <w:p>
      <w:pPr>
        <w:spacing w:line="560" w:lineRule="exact"/>
        <w:rPr>
          <w:rFonts w:hint="eastAsia" w:ascii="仿宋_GB2312" w:hAnsi="宋体" w:eastAsia="仿宋_GB2312" w:cs="宋体"/>
          <w:color w:val="000000" w:themeColor="text1"/>
          <w:spacing w:val="8"/>
          <w:kern w:val="0"/>
          <w:sz w:val="32"/>
          <w:szCs w:val="32"/>
          <w14:textFill>
            <w14:solidFill>
              <w14:schemeClr w14:val="tx1"/>
            </w14:solidFill>
          </w14:textFill>
        </w:rPr>
      </w:pPr>
      <w:r>
        <w:rPr>
          <w:rFonts w:ascii="仿宋_GB2312" w:hAnsi="宋体" w:eastAsia="仿宋_GB2312" w:cs="宋体"/>
          <w:color w:val="000000" w:themeColor="text1"/>
          <w:spacing w:val="8"/>
          <w:kern w:val="0"/>
          <w:sz w:val="32"/>
          <w:szCs w:val="32"/>
          <w14:textFill>
            <w14:solidFill>
              <w14:schemeClr w14:val="tx1"/>
            </w14:solidFill>
          </w14:textFill>
        </w:rPr>
        <w:tab/>
      </w:r>
      <w:r>
        <w:rPr>
          <w:rFonts w:ascii="仿宋_GB2312" w:hAnsi="宋体"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宋体" w:eastAsia="仿宋_GB2312" w:cs="宋体"/>
          <w:color w:val="000000" w:themeColor="text1"/>
          <w:spacing w:val="8"/>
          <w:kern w:val="0"/>
          <w:sz w:val="32"/>
          <w:szCs w:val="32"/>
          <w14:textFill>
            <w14:solidFill>
              <w14:schemeClr w14:val="tx1"/>
            </w14:solidFill>
          </w14:textFill>
        </w:rPr>
        <w:t>2022年，我委严格</w:t>
      </w:r>
      <w:r>
        <w:rPr>
          <w:rFonts w:ascii="仿宋_GB2312" w:hAnsi="宋体" w:eastAsia="仿宋_GB2312" w:cs="宋体"/>
          <w:color w:val="000000" w:themeColor="text1"/>
          <w:spacing w:val="8"/>
          <w:kern w:val="0"/>
          <w:sz w:val="32"/>
          <w:szCs w:val="32"/>
          <w14:textFill>
            <w14:solidFill>
              <w14:schemeClr w14:val="tx1"/>
            </w14:solidFill>
          </w14:textFill>
        </w:rPr>
        <w:t>落实</w:t>
      </w:r>
      <w:r>
        <w:rPr>
          <w:rFonts w:hint="eastAsia" w:ascii="仿宋_GB2312" w:hAnsi="宋体" w:eastAsia="仿宋_GB2312" w:cs="宋体"/>
          <w:color w:val="000000" w:themeColor="text1"/>
          <w:spacing w:val="8"/>
          <w:kern w:val="0"/>
          <w:sz w:val="32"/>
          <w:szCs w:val="32"/>
          <w14:textFill>
            <w14:solidFill>
              <w14:schemeClr w14:val="tx1"/>
            </w14:solidFill>
          </w14:textFill>
        </w:rPr>
        <w:t>《北京市大兴区2022年政务公开工作要点》文件</w:t>
      </w:r>
      <w:r>
        <w:rPr>
          <w:rFonts w:ascii="仿宋_GB2312" w:hAnsi="宋体" w:eastAsia="仿宋_GB2312" w:cs="宋体"/>
          <w:color w:val="000000" w:themeColor="text1"/>
          <w:spacing w:val="8"/>
          <w:kern w:val="0"/>
          <w:sz w:val="32"/>
          <w:szCs w:val="32"/>
          <w14:textFill>
            <w14:solidFill>
              <w14:schemeClr w14:val="tx1"/>
            </w14:solidFill>
          </w14:textFill>
        </w:rPr>
        <w:t>要求</w:t>
      </w:r>
      <w:r>
        <w:rPr>
          <w:rFonts w:hint="eastAsia" w:ascii="仿宋_GB2312" w:hAnsi="宋体" w:eastAsia="仿宋_GB2312" w:cs="宋体"/>
          <w:color w:val="000000" w:themeColor="text1"/>
          <w:spacing w:val="8"/>
          <w:kern w:val="0"/>
          <w:sz w:val="32"/>
          <w:szCs w:val="32"/>
          <w14:textFill>
            <w14:solidFill>
              <w14:schemeClr w14:val="tx1"/>
            </w14:solidFill>
          </w14:textFill>
        </w:rPr>
        <w:t>，坚持教育优质均衡发展，推动“双减”政策落实，主动公开大兴区2022年校园及周边环境综合治理工作方案、大兴区拟享受2022年生均定额补助普惠性幼儿园（办园点）名单、《2022年义务教育阶段入学工作意见》等重点教育领域信息。</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3</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依申请公开办理情况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2022年新接收政府信息公开申请22件，办理</w:t>
      </w:r>
      <w:r>
        <w:rPr>
          <w:rFonts w:ascii="仿宋_GB2312" w:hAnsi="宋体" w:eastAsia="仿宋_GB2312" w:cs="宋体"/>
          <w:spacing w:val="8"/>
          <w:kern w:val="0"/>
          <w:sz w:val="32"/>
          <w:szCs w:val="32"/>
        </w:rPr>
        <w:t>上年</w:t>
      </w:r>
      <w:r>
        <w:rPr>
          <w:rFonts w:hint="eastAsia" w:ascii="仿宋_GB2312" w:hAnsi="宋体" w:eastAsia="仿宋_GB2312" w:cs="宋体"/>
          <w:spacing w:val="8"/>
          <w:kern w:val="0"/>
          <w:sz w:val="32"/>
          <w:szCs w:val="32"/>
        </w:rPr>
        <w:t>结转政府</w:t>
      </w:r>
      <w:r>
        <w:rPr>
          <w:rFonts w:ascii="仿宋_GB2312" w:hAnsi="宋体" w:eastAsia="仿宋_GB2312" w:cs="宋体"/>
          <w:spacing w:val="8"/>
          <w:kern w:val="0"/>
          <w:sz w:val="32"/>
          <w:szCs w:val="32"/>
        </w:rPr>
        <w:t>信息公开申请3</w:t>
      </w:r>
      <w:r>
        <w:rPr>
          <w:rFonts w:hint="eastAsia" w:ascii="仿宋_GB2312" w:hAnsi="宋体" w:eastAsia="仿宋_GB2312" w:cs="宋体"/>
          <w:spacing w:val="8"/>
          <w:kern w:val="0"/>
          <w:sz w:val="32"/>
          <w:szCs w:val="32"/>
        </w:rPr>
        <w:t>件，本年度答复</w:t>
      </w:r>
      <w:r>
        <w:rPr>
          <w:rFonts w:ascii="仿宋_GB2312" w:hAnsi="宋体" w:eastAsia="仿宋_GB2312" w:cs="宋体"/>
          <w:spacing w:val="8"/>
          <w:kern w:val="0"/>
          <w:sz w:val="32"/>
          <w:szCs w:val="32"/>
        </w:rPr>
        <w:t>共计办理</w:t>
      </w:r>
      <w:r>
        <w:rPr>
          <w:rFonts w:hint="eastAsia" w:ascii="仿宋_GB2312" w:hAnsi="宋体" w:eastAsia="仿宋_GB2312" w:cs="宋体"/>
          <w:spacing w:val="8"/>
          <w:kern w:val="0"/>
          <w:sz w:val="32"/>
          <w:szCs w:val="32"/>
        </w:rPr>
        <w:t>25件，健全政府信息公开申请的受理、答复机制，做到依法有据。</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4</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政府信息管理情况</w:t>
      </w:r>
    </w:p>
    <w:p>
      <w:pPr>
        <w:spacing w:line="560" w:lineRule="exact"/>
        <w:ind w:firstLine="672" w:firstLineChars="200"/>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对我委政务公开工作进行动态管理，将政府信息公开全清单作为公开政府信息的重要依据。以区政府门户网站和“兴教时讯”政务新媒体为平台，紧紧围绕社会</w:t>
      </w:r>
      <w:r>
        <w:rPr>
          <w:rFonts w:ascii="仿宋_GB2312" w:hAnsi="宋体" w:eastAsia="仿宋_GB2312" w:cs="宋体"/>
          <w:color w:val="000000" w:themeColor="text1"/>
          <w:spacing w:val="8"/>
          <w:kern w:val="0"/>
          <w:sz w:val="32"/>
          <w:szCs w:val="32"/>
          <w14:textFill>
            <w14:solidFill>
              <w14:schemeClr w14:val="tx1"/>
            </w14:solidFill>
          </w14:textFill>
        </w:rPr>
        <w:t>关注的</w:t>
      </w:r>
      <w:r>
        <w:rPr>
          <w:rFonts w:hint="eastAsia" w:ascii="仿宋_GB2312" w:hAnsi="宋体" w:eastAsia="仿宋_GB2312" w:cs="宋体"/>
          <w:color w:val="000000" w:themeColor="text1"/>
          <w:spacing w:val="8"/>
          <w:kern w:val="0"/>
          <w:sz w:val="32"/>
          <w:szCs w:val="32"/>
          <w14:textFill>
            <w14:solidFill>
              <w14:schemeClr w14:val="tx1"/>
            </w14:solidFill>
          </w14:textFill>
        </w:rPr>
        <w:t>热点</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难点和</w:t>
      </w:r>
      <w:r>
        <w:rPr>
          <w:rFonts w:ascii="仿宋_GB2312" w:hAnsi="宋体" w:eastAsia="仿宋_GB2312" w:cs="宋体"/>
          <w:color w:val="000000" w:themeColor="text1"/>
          <w:spacing w:val="8"/>
          <w:kern w:val="0"/>
          <w:sz w:val="32"/>
          <w:szCs w:val="32"/>
          <w14:textFill>
            <w14:solidFill>
              <w14:schemeClr w14:val="tx1"/>
            </w14:solidFill>
          </w14:textFill>
        </w:rPr>
        <w:t>焦点问题，</w:t>
      </w:r>
      <w:r>
        <w:rPr>
          <w:rFonts w:hint="eastAsia" w:ascii="仿宋_GB2312" w:hAnsi="宋体" w:eastAsia="仿宋_GB2312" w:cs="宋体"/>
          <w:color w:val="000000" w:themeColor="text1"/>
          <w:spacing w:val="8"/>
          <w:kern w:val="0"/>
          <w:sz w:val="32"/>
          <w:szCs w:val="32"/>
          <w14:textFill>
            <w14:solidFill>
              <w14:schemeClr w14:val="tx1"/>
            </w14:solidFill>
          </w14:textFill>
        </w:rPr>
        <w:t>主动公开教师轮岗、引进市级名校合作办学等重要及热点信息3</w:t>
      </w:r>
      <w:r>
        <w:rPr>
          <w:rFonts w:ascii="仿宋_GB2312" w:hAnsi="宋体" w:eastAsia="仿宋_GB2312" w:cs="宋体"/>
          <w:color w:val="000000" w:themeColor="text1"/>
          <w:spacing w:val="8"/>
          <w:kern w:val="0"/>
          <w:sz w:val="32"/>
          <w:szCs w:val="32"/>
          <w14:textFill>
            <w14:solidFill>
              <w14:schemeClr w14:val="tx1"/>
            </w14:solidFill>
          </w14:textFill>
        </w:rPr>
        <w:t>000</w:t>
      </w:r>
      <w:r>
        <w:rPr>
          <w:rFonts w:hint="eastAsia" w:ascii="仿宋_GB2312" w:hAnsi="宋体" w:eastAsia="仿宋_GB2312" w:cs="宋体"/>
          <w:color w:val="000000" w:themeColor="text1"/>
          <w:spacing w:val="8"/>
          <w:kern w:val="0"/>
          <w:sz w:val="32"/>
          <w:szCs w:val="32"/>
          <w14:textFill>
            <w14:solidFill>
              <w14:schemeClr w14:val="tx1"/>
            </w14:solidFill>
          </w14:textFill>
        </w:rPr>
        <w:t>余条，扎实推进重点事项公开，积极回应社会关切。</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5</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lang w:eastAsia="zh-CN"/>
          <w14:textFill>
            <w14:solidFill>
              <w14:schemeClr w14:val="tx1"/>
            </w14:solidFill>
          </w14:textFill>
        </w:rPr>
        <w:t>政府</w:t>
      </w:r>
      <w:r>
        <w:rPr>
          <w:rFonts w:hint="eastAsia" w:ascii="仿宋_GB2312" w:hAnsi="宋体" w:eastAsia="仿宋_GB2312" w:cs="宋体"/>
          <w:color w:val="000000" w:themeColor="text1"/>
          <w:spacing w:val="8"/>
          <w:kern w:val="0"/>
          <w:sz w:val="32"/>
          <w:szCs w:val="32"/>
          <w14:textFill>
            <w14:solidFill>
              <w14:schemeClr w14:val="tx1"/>
            </w14:solidFill>
          </w14:textFill>
        </w:rPr>
        <w:t>信息公开平台建设情况</w:t>
      </w:r>
    </w:p>
    <w:p>
      <w:pPr>
        <w:widowControl/>
        <w:spacing w:line="560" w:lineRule="exact"/>
        <w:ind w:firstLine="675"/>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一是把区政府门户网站作为区</w:t>
      </w:r>
      <w:r>
        <w:rPr>
          <w:rFonts w:ascii="仿宋_GB2312" w:hAnsi="宋体" w:eastAsia="仿宋_GB2312" w:cs="宋体"/>
          <w:color w:val="000000" w:themeColor="text1"/>
          <w:spacing w:val="8"/>
          <w:kern w:val="0"/>
          <w:sz w:val="32"/>
          <w:szCs w:val="32"/>
          <w14:textFill>
            <w14:solidFill>
              <w14:schemeClr w14:val="tx1"/>
            </w14:solidFill>
          </w14:textFill>
        </w:rPr>
        <w:t>教</w:t>
      </w:r>
      <w:r>
        <w:rPr>
          <w:rFonts w:hint="eastAsia" w:ascii="仿宋_GB2312" w:hAnsi="宋体" w:eastAsia="仿宋_GB2312" w:cs="宋体"/>
          <w:color w:val="000000" w:themeColor="text1"/>
          <w:spacing w:val="8"/>
          <w:kern w:val="0"/>
          <w:sz w:val="32"/>
          <w:szCs w:val="32"/>
          <w14:textFill>
            <w14:solidFill>
              <w14:schemeClr w14:val="tx1"/>
            </w14:solidFill>
          </w14:textFill>
        </w:rPr>
        <w:t>委政务公开第一平台，主动公开</w:t>
      </w:r>
      <w:r>
        <w:rPr>
          <w:rFonts w:ascii="仿宋_GB2312" w:hAnsi="宋体" w:eastAsia="仿宋_GB2312" w:cs="宋体"/>
          <w:color w:val="000000" w:themeColor="text1"/>
          <w:spacing w:val="8"/>
          <w:kern w:val="0"/>
          <w:sz w:val="32"/>
          <w:szCs w:val="32"/>
          <w14:textFill>
            <w14:solidFill>
              <w14:schemeClr w14:val="tx1"/>
            </w14:solidFill>
          </w14:textFill>
        </w:rPr>
        <w:t>义务教育基层政务公开标准</w:t>
      </w:r>
      <w:r>
        <w:rPr>
          <w:rFonts w:hint="eastAsia" w:ascii="仿宋_GB2312" w:hAnsi="宋体" w:eastAsia="仿宋_GB2312" w:cs="宋体"/>
          <w:color w:val="000000" w:themeColor="text1"/>
          <w:spacing w:val="8"/>
          <w:kern w:val="0"/>
          <w:sz w:val="32"/>
          <w:szCs w:val="32"/>
          <w14:textFill>
            <w14:solidFill>
              <w14:schemeClr w14:val="tx1"/>
            </w14:solidFill>
          </w14:textFill>
        </w:rPr>
        <w:t>、</w:t>
      </w:r>
      <w:r>
        <w:rPr>
          <w:rFonts w:ascii="仿宋_GB2312" w:hAnsi="宋体" w:eastAsia="仿宋_GB2312" w:cs="宋体"/>
          <w:color w:val="000000" w:themeColor="text1"/>
          <w:spacing w:val="8"/>
          <w:kern w:val="0"/>
          <w:sz w:val="32"/>
          <w:szCs w:val="32"/>
          <w14:textFill>
            <w14:solidFill>
              <w14:schemeClr w14:val="tx1"/>
            </w14:solidFill>
          </w14:textFill>
        </w:rPr>
        <w:t>大兴区贯彻落实〈北京市中小学校幼儿园安全管理规定（试行）〉工作方案</w:t>
      </w:r>
      <w:r>
        <w:rPr>
          <w:rFonts w:hint="eastAsia" w:ascii="仿宋_GB2312" w:hAnsi="宋体" w:eastAsia="仿宋_GB2312" w:cs="宋体"/>
          <w:color w:val="000000" w:themeColor="text1"/>
          <w:spacing w:val="8"/>
          <w:kern w:val="0"/>
          <w:sz w:val="32"/>
          <w:szCs w:val="32"/>
          <w14:textFill>
            <w14:solidFill>
              <w14:schemeClr w14:val="tx1"/>
            </w14:solidFill>
          </w14:textFill>
        </w:rPr>
        <w:t>等群众关切的信息。全年在区政府网站公开信息近百条。</w:t>
      </w:r>
    </w:p>
    <w:p>
      <w:pPr>
        <w:widowControl/>
        <w:spacing w:line="560" w:lineRule="exact"/>
        <w:ind w:firstLine="675"/>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二是加强政务新媒体建设和管理。</w:t>
      </w:r>
      <w:r>
        <w:rPr>
          <w:rFonts w:ascii="仿宋_GB2312" w:hAnsi="宋体" w:eastAsia="仿宋_GB2312" w:cs="宋体"/>
          <w:color w:val="000000" w:themeColor="text1"/>
          <w:spacing w:val="8"/>
          <w:kern w:val="0"/>
          <w:sz w:val="32"/>
          <w:szCs w:val="32"/>
          <w14:textFill>
            <w14:solidFill>
              <w14:schemeClr w14:val="tx1"/>
            </w14:solidFill>
          </w14:textFill>
        </w:rPr>
        <w:t>严格内容发布审核制度，坚持分级分类审核、先审后发，严把政治关、法律关、政策关、保密关、文字关。规范信息转载发布</w:t>
      </w:r>
      <w:r>
        <w:rPr>
          <w:rFonts w:hint="eastAsia" w:ascii="仿宋_GB2312" w:hAnsi="宋体" w:eastAsia="仿宋_GB2312" w:cs="宋体"/>
          <w:color w:val="000000" w:themeColor="text1"/>
          <w:spacing w:val="8"/>
          <w:kern w:val="0"/>
          <w:sz w:val="32"/>
          <w:szCs w:val="32"/>
          <w14:textFill>
            <w14:solidFill>
              <w14:schemeClr w14:val="tx1"/>
            </w14:solidFill>
          </w14:textFill>
        </w:rPr>
        <w:t>，</w:t>
      </w:r>
      <w:r>
        <w:rPr>
          <w:rFonts w:ascii="仿宋_GB2312" w:hAnsi="宋体" w:eastAsia="仿宋_GB2312" w:cs="宋体"/>
          <w:color w:val="000000" w:themeColor="text1"/>
          <w:spacing w:val="8"/>
          <w:kern w:val="0"/>
          <w:sz w:val="32"/>
          <w:szCs w:val="32"/>
          <w14:textFill>
            <w14:solidFill>
              <w14:schemeClr w14:val="tx1"/>
            </w14:solidFill>
          </w14:textFill>
        </w:rPr>
        <w:t>完善政务新媒体日常运维机制</w:t>
      </w:r>
      <w:r>
        <w:rPr>
          <w:rFonts w:hint="eastAsia" w:ascii="仿宋_GB2312" w:hAnsi="宋体" w:eastAsia="仿宋_GB2312" w:cs="宋体"/>
          <w:color w:val="000000" w:themeColor="text1"/>
          <w:spacing w:val="8"/>
          <w:kern w:val="0"/>
          <w:sz w:val="32"/>
          <w:szCs w:val="32"/>
          <w14:textFill>
            <w14:solidFill>
              <w14:schemeClr w14:val="tx1"/>
            </w14:solidFill>
          </w14:textFill>
        </w:rPr>
        <w:t>。</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6</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教育培训情况</w:t>
      </w:r>
    </w:p>
    <w:p>
      <w:pPr>
        <w:widowControl/>
        <w:spacing w:line="560" w:lineRule="exact"/>
        <w:ind w:firstLine="675"/>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组织</w:t>
      </w:r>
      <w:r>
        <w:rPr>
          <w:rFonts w:ascii="仿宋_GB2312" w:hAnsi="宋体" w:eastAsia="仿宋_GB2312" w:cs="宋体"/>
          <w:color w:val="000000" w:themeColor="text1"/>
          <w:spacing w:val="8"/>
          <w:kern w:val="0"/>
          <w:sz w:val="32"/>
          <w:szCs w:val="32"/>
          <w14:textFill>
            <w14:solidFill>
              <w14:schemeClr w14:val="tx1"/>
            </w14:solidFill>
          </w14:textFill>
        </w:rPr>
        <w:t>机关</w:t>
      </w:r>
      <w:r>
        <w:rPr>
          <w:rFonts w:hint="eastAsia" w:ascii="仿宋_GB2312" w:hAnsi="宋体" w:eastAsia="仿宋_GB2312" w:cs="宋体"/>
          <w:color w:val="000000" w:themeColor="text1"/>
          <w:spacing w:val="8"/>
          <w:kern w:val="0"/>
          <w:sz w:val="32"/>
          <w:szCs w:val="32"/>
          <w14:textFill>
            <w14:solidFill>
              <w14:schemeClr w14:val="tx1"/>
            </w14:solidFill>
          </w14:textFill>
        </w:rPr>
        <w:t>各</w:t>
      </w:r>
      <w:r>
        <w:rPr>
          <w:rFonts w:ascii="仿宋_GB2312" w:hAnsi="宋体" w:eastAsia="仿宋_GB2312" w:cs="宋体"/>
          <w:color w:val="000000" w:themeColor="text1"/>
          <w:spacing w:val="8"/>
          <w:kern w:val="0"/>
          <w:sz w:val="32"/>
          <w:szCs w:val="32"/>
          <w14:textFill>
            <w14:solidFill>
              <w14:schemeClr w14:val="tx1"/>
            </w14:solidFill>
          </w14:textFill>
        </w:rPr>
        <w:t>科室</w:t>
      </w:r>
      <w:r>
        <w:rPr>
          <w:rFonts w:hint="eastAsia" w:ascii="楷体_GB2312" w:hAnsi="宋体" w:eastAsia="楷体_GB2312" w:cs="宋体"/>
          <w:color w:val="000000" w:themeColor="text1"/>
          <w:spacing w:val="8"/>
          <w:kern w:val="0"/>
          <w:sz w:val="32"/>
          <w:szCs w:val="32"/>
          <w14:textFill>
            <w14:solidFill>
              <w14:schemeClr w14:val="tx1"/>
            </w14:solidFill>
          </w14:textFill>
        </w:rPr>
        <w:t>（部门）</w:t>
      </w:r>
      <w:r>
        <w:rPr>
          <w:rFonts w:ascii="仿宋_GB2312" w:hAnsi="宋体" w:eastAsia="仿宋_GB2312" w:cs="宋体"/>
          <w:color w:val="000000" w:themeColor="text1"/>
          <w:spacing w:val="8"/>
          <w:kern w:val="0"/>
          <w:sz w:val="32"/>
          <w:szCs w:val="32"/>
          <w14:textFill>
            <w14:solidFill>
              <w14:schemeClr w14:val="tx1"/>
            </w14:solidFill>
          </w14:textFill>
        </w:rPr>
        <w:t>负责政务公开的</w:t>
      </w:r>
      <w:r>
        <w:rPr>
          <w:rFonts w:hint="eastAsia" w:ascii="仿宋_GB2312" w:hAnsi="宋体" w:eastAsia="仿宋_GB2312" w:cs="宋体"/>
          <w:color w:val="000000" w:themeColor="text1"/>
          <w:spacing w:val="8"/>
          <w:kern w:val="0"/>
          <w:sz w:val="32"/>
          <w:szCs w:val="32"/>
          <w14:textFill>
            <w14:solidFill>
              <w14:schemeClr w14:val="tx1"/>
            </w14:solidFill>
          </w14:textFill>
        </w:rPr>
        <w:t>工作</w:t>
      </w:r>
      <w:r>
        <w:rPr>
          <w:rFonts w:ascii="仿宋_GB2312" w:hAnsi="宋体" w:eastAsia="仿宋_GB2312" w:cs="宋体"/>
          <w:color w:val="000000" w:themeColor="text1"/>
          <w:spacing w:val="8"/>
          <w:kern w:val="0"/>
          <w:sz w:val="32"/>
          <w:szCs w:val="32"/>
          <w14:textFill>
            <w14:solidFill>
              <w14:schemeClr w14:val="tx1"/>
            </w14:solidFill>
          </w14:textFill>
        </w:rPr>
        <w:t>人员</w:t>
      </w:r>
      <w:r>
        <w:rPr>
          <w:rFonts w:hint="eastAsia" w:ascii="仿宋_GB2312" w:hAnsi="宋体" w:eastAsia="仿宋_GB2312" w:cs="宋体"/>
          <w:color w:val="000000" w:themeColor="text1"/>
          <w:spacing w:val="8"/>
          <w:kern w:val="0"/>
          <w:sz w:val="32"/>
          <w:szCs w:val="32"/>
          <w14:textFill>
            <w14:solidFill>
              <w14:schemeClr w14:val="tx1"/>
            </w14:solidFill>
          </w14:textFill>
        </w:rPr>
        <w:t>，学习</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政府信息公开条例</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《北京市大兴区2022年政务公开工作要点》等</w:t>
      </w:r>
      <w:r>
        <w:rPr>
          <w:rFonts w:ascii="仿宋_GB2312" w:hAnsi="宋体" w:eastAsia="仿宋_GB2312" w:cs="宋体"/>
          <w:color w:val="000000" w:themeColor="text1"/>
          <w:spacing w:val="8"/>
          <w:kern w:val="0"/>
          <w:sz w:val="32"/>
          <w:szCs w:val="32"/>
          <w14:textFill>
            <w14:solidFill>
              <w14:schemeClr w14:val="tx1"/>
            </w14:solidFill>
          </w14:textFill>
        </w:rPr>
        <w:t>政务公开工作相关文件</w:t>
      </w:r>
      <w:r>
        <w:rPr>
          <w:rFonts w:hint="eastAsia" w:ascii="仿宋_GB2312" w:hAnsi="宋体" w:eastAsia="仿宋_GB2312" w:cs="宋体"/>
          <w:color w:val="000000" w:themeColor="text1"/>
          <w:spacing w:val="8"/>
          <w:kern w:val="0"/>
          <w:sz w:val="32"/>
          <w:szCs w:val="32"/>
          <w14:textFill>
            <w14:solidFill>
              <w14:schemeClr w14:val="tx1"/>
            </w14:solidFill>
          </w14:textFill>
        </w:rPr>
        <w:t>等内容</w:t>
      </w:r>
      <w:r>
        <w:rPr>
          <w:rFonts w:ascii="仿宋_GB2312" w:hAnsi="宋体" w:eastAsia="仿宋_GB2312" w:cs="宋体"/>
          <w:color w:val="000000" w:themeColor="text1"/>
          <w:spacing w:val="8"/>
          <w:kern w:val="0"/>
          <w:sz w:val="32"/>
          <w:szCs w:val="32"/>
          <w14:textFill>
            <w14:solidFill>
              <w14:schemeClr w14:val="tx1"/>
            </w14:solidFill>
          </w14:textFill>
        </w:rPr>
        <w:t>，提升工作人员对政务公开在内容、分类、形式、政策解读等方面的业务能力，不断增强政务公开意识，促进我</w:t>
      </w:r>
      <w:r>
        <w:rPr>
          <w:rFonts w:hint="eastAsia" w:ascii="仿宋_GB2312" w:hAnsi="宋体" w:eastAsia="仿宋_GB2312" w:cs="宋体"/>
          <w:color w:val="000000" w:themeColor="text1"/>
          <w:spacing w:val="8"/>
          <w:kern w:val="0"/>
          <w:sz w:val="32"/>
          <w:szCs w:val="32"/>
          <w14:textFill>
            <w14:solidFill>
              <w14:schemeClr w14:val="tx1"/>
            </w14:solidFill>
          </w14:textFill>
        </w:rPr>
        <w:t>委</w:t>
      </w:r>
      <w:r>
        <w:rPr>
          <w:rFonts w:ascii="仿宋_GB2312" w:hAnsi="宋体" w:eastAsia="仿宋_GB2312" w:cs="宋体"/>
          <w:color w:val="000000" w:themeColor="text1"/>
          <w:spacing w:val="8"/>
          <w:kern w:val="0"/>
          <w:sz w:val="32"/>
          <w:szCs w:val="32"/>
          <w14:textFill>
            <w14:solidFill>
              <w14:schemeClr w14:val="tx1"/>
            </w14:solidFill>
          </w14:textFill>
        </w:rPr>
        <w:t>政务公开工作的日常化、制度化、规范化。</w:t>
      </w:r>
    </w:p>
    <w:p>
      <w:pPr>
        <w:widowControl/>
        <w:spacing w:line="560" w:lineRule="exact"/>
        <w:ind w:firstLine="675"/>
        <w:jc w:val="left"/>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7</w:t>
      </w:r>
      <w:r>
        <w:rPr>
          <w:rFonts w:ascii="仿宋_GB2312" w:hAnsi="宋体" w:eastAsia="仿宋_GB2312" w:cs="宋体"/>
          <w:color w:val="000000" w:themeColor="text1"/>
          <w:spacing w:val="8"/>
          <w:kern w:val="0"/>
          <w:sz w:val="32"/>
          <w:szCs w:val="32"/>
          <w14:textFill>
            <w14:solidFill>
              <w14:schemeClr w14:val="tx1"/>
            </w14:solidFill>
          </w14:textFill>
        </w:rPr>
        <w:t>.</w:t>
      </w:r>
      <w:r>
        <w:rPr>
          <w:rFonts w:hint="eastAsia" w:ascii="仿宋_GB2312" w:hAnsi="宋体" w:eastAsia="仿宋_GB2312" w:cs="宋体"/>
          <w:color w:val="000000" w:themeColor="text1"/>
          <w:spacing w:val="8"/>
          <w:kern w:val="0"/>
          <w:sz w:val="32"/>
          <w:szCs w:val="32"/>
          <w14:textFill>
            <w14:solidFill>
              <w14:schemeClr w14:val="tx1"/>
            </w14:solidFill>
          </w14:textFill>
        </w:rPr>
        <w:t>监督保障情况</w:t>
      </w:r>
    </w:p>
    <w:p>
      <w:pPr>
        <w:widowControl/>
        <w:shd w:val="clear" w:color="auto" w:fill="FFFFFF"/>
        <w:spacing w:line="560" w:lineRule="exact"/>
        <w:ind w:firstLine="640"/>
        <w:rPr>
          <w:rFonts w:ascii="仿宋_GB2312" w:hAnsi="宋体" w:eastAsia="仿宋_GB2312" w:cs="宋体"/>
          <w:color w:val="000000" w:themeColor="text1"/>
          <w:spacing w:val="8"/>
          <w:kern w:val="0"/>
          <w:sz w:val="32"/>
          <w:szCs w:val="32"/>
          <w14:textFill>
            <w14:solidFill>
              <w14:schemeClr w14:val="tx1"/>
            </w14:solidFill>
          </w14:textFill>
        </w:rPr>
      </w:pPr>
      <w:r>
        <w:rPr>
          <w:rFonts w:hint="eastAsia" w:ascii="仿宋_GB2312" w:hAnsi="宋体" w:eastAsia="仿宋_GB2312" w:cs="宋体"/>
          <w:color w:val="000000" w:themeColor="text1"/>
          <w:spacing w:val="8"/>
          <w:kern w:val="0"/>
          <w:sz w:val="32"/>
          <w:szCs w:val="32"/>
          <w14:textFill>
            <w14:solidFill>
              <w14:schemeClr w14:val="tx1"/>
            </w14:solidFill>
          </w14:textFill>
        </w:rPr>
        <w:t>注重抓好政务公开工作机制的落实，推进政务公开规范化建设，积极完成全年政务公开情况调查报告测评整改任务。对于测评反馈的问题，我委认真研究测评整改通知单中扣分因素，全力以赴地收集资料，抓扣分点，补漏查缺。</w:t>
      </w:r>
    </w:p>
    <w:p>
      <w:pPr>
        <w:spacing w:line="560" w:lineRule="exact"/>
        <w:ind w:firstLine="504"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主动公开政府信息情况</w:t>
      </w:r>
    </w:p>
    <w:tbl>
      <w:tblPr>
        <w:tblStyle w:val="10"/>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本年废止件数</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宋体" w:hAnsi="宋体"/>
                <w:color w:val="000000" w:themeColor="text1"/>
                <w:kern w:val="0"/>
                <w:sz w:val="20"/>
                <w:szCs w:val="20"/>
                <w14:textFill>
                  <w14:solidFill>
                    <w14:schemeClr w14:val="tx1"/>
                  </w14:solidFill>
                </w14:textFill>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宋体" w:hAnsi="宋体"/>
                <w:color w:val="000000" w:themeColor="text1"/>
                <w:kern w:val="0"/>
                <w:sz w:val="20"/>
                <w:szCs w:val="20"/>
                <w14:textFill>
                  <w14:solidFill>
                    <w14:schemeClr w14:val="tx1"/>
                  </w14:solidFill>
                </w14:textFill>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14:textFill>
                  <w14:solidFill>
                    <w14:schemeClr w14:val="tx1"/>
                  </w14:solidFill>
                </w14:textFill>
              </w:rPr>
              <w:t>11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14:textFill>
                  <w14:solidFill>
                    <w14:schemeClr w14:val="tx1"/>
                  </w14:solidFill>
                </w14:textFill>
              </w:rPr>
              <w:t>15</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shd w:val="clear" w:color="auto" w:fill="DDEBF7"/>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0</w:t>
            </w:r>
          </w:p>
        </w:tc>
      </w:tr>
    </w:tbl>
    <w:p>
      <w:pPr>
        <w:spacing w:line="560" w:lineRule="exact"/>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收到和处理政府信息公开申请情况</w:t>
      </w:r>
    </w:p>
    <w:tbl>
      <w:tblPr>
        <w:tblStyle w:val="10"/>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tcMar>
              <w:top w:w="0" w:type="dxa"/>
              <w:left w:w="108" w:type="dxa"/>
              <w:bottom w:w="0" w:type="dxa"/>
              <w:right w:w="108" w:type="dxa"/>
            </w:tcMar>
            <w:vAlign w:val="center"/>
          </w:tcPr>
          <w:p>
            <w:pPr>
              <w:widowControl/>
              <w:spacing w:line="560" w:lineRule="exact"/>
              <w:jc w:val="left"/>
              <w:rPr>
                <w:color w:val="000000" w:themeColor="text1"/>
                <w14:textFill>
                  <w14:solidFill>
                    <w14:schemeClr w14:val="tx1"/>
                  </w14:solidFill>
                </w14:textFill>
              </w:rPr>
            </w:pPr>
            <w:r>
              <w:rPr>
                <w:rFonts w:hint="eastAsia" w:ascii="楷体" w:hAnsi="楷体" w:eastAsia="楷体"/>
                <w:color w:val="000000" w:themeColor="text1"/>
                <w:kern w:val="0"/>
                <w:sz w:val="20"/>
                <w:szCs w:val="20"/>
                <w14:textFill>
                  <w14:solidFill>
                    <w14:schemeClr w14:val="tx1"/>
                  </w14:solidFill>
                </w14:textFill>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88" w:type="dxa"/>
            <w:vMerge w:val="restart"/>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法人或其他组织</w:t>
            </w:r>
          </w:p>
        </w:tc>
        <w:tc>
          <w:tcPr>
            <w:tcW w:w="689" w:type="dxa"/>
            <w:vMerge w:val="restart"/>
            <w:tcBorders>
              <w:top w:val="single" w:color="auto" w:sz="8" w:space="0"/>
              <w:left w:val="nil"/>
              <w:bottom w:val="inset"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88" w:type="dxa"/>
            <w:vMerge w:val="continue"/>
            <w:tcBorders>
              <w:top w:val="nil"/>
              <w:left w:val="nil"/>
              <w:bottom w:val="single"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88" w:type="dxa"/>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商业</w:t>
            </w:r>
          </w:p>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企业</w:t>
            </w:r>
          </w:p>
        </w:tc>
        <w:tc>
          <w:tcPr>
            <w:tcW w:w="688" w:type="dxa"/>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科研</w:t>
            </w:r>
          </w:p>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机构</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社会公益组织</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法律服务机构</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其他</w:t>
            </w:r>
          </w:p>
        </w:tc>
        <w:tc>
          <w:tcPr>
            <w:tcW w:w="689" w:type="dxa"/>
            <w:vMerge w:val="continue"/>
            <w:tcBorders>
              <w:top w:val="single" w:color="auto" w:sz="8" w:space="0"/>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三、本年度办理结果</w:t>
            </w:r>
          </w:p>
        </w:tc>
        <w:tc>
          <w:tcPr>
            <w:tcW w:w="4163"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4163"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（二）部分公开</w:t>
            </w:r>
            <w:r>
              <w:rPr>
                <w:rFonts w:hint="eastAsia" w:ascii="楷体" w:hAnsi="楷体" w:eastAsia="楷体"/>
                <w:color w:val="000000" w:themeColor="text1"/>
                <w:kern w:val="0"/>
                <w:sz w:val="20"/>
                <w:szCs w:val="20"/>
                <w14:textFill>
                  <w14:solidFill>
                    <w14:schemeClr w14:val="tx1"/>
                  </w14:solidFill>
                </w14:textFill>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（三）不予公开</w:t>
            </w: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（四）无法提供</w:t>
            </w: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（五）不予处理</w:t>
            </w: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inset"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（六）其他处理</w:t>
            </w: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943" w:type="dxa"/>
            <w:vMerge w:val="continue"/>
            <w:tcBorders>
              <w:top w:val="nil"/>
              <w:left w:val="nil"/>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3220"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4163"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25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spacing w:line="560" w:lineRule="exact"/>
              <w:jc w:val="left"/>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四、结转下年度继续办理</w:t>
            </w:r>
          </w:p>
        </w:tc>
        <w:tc>
          <w:tcPr>
            <w:tcW w:w="688"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8"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c>
          <w:tcPr>
            <w:tcW w:w="689" w:type="dxa"/>
            <w:tcBorders>
              <w:top w:val="inset" w:color="auto" w:sz="6" w:space="0"/>
              <w:left w:val="nil"/>
              <w:bottom w:val="inset" w:color="auto" w:sz="6" w:space="0"/>
              <w:right w:val="inset" w:color="auto" w:sz="6" w:space="0"/>
            </w:tcBorders>
            <w:vAlign w:val="center"/>
          </w:tcPr>
          <w:p>
            <w:pPr>
              <w:widowControl/>
              <w:spacing w:line="560" w:lineRule="exact"/>
              <w:jc w:val="center"/>
              <w:rPr>
                <w:color w:val="000000" w:themeColor="text1"/>
                <w14:textFill>
                  <w14:solidFill>
                    <w14:schemeClr w14:val="tx1"/>
                  </w14:solidFill>
                </w14:textFill>
              </w:rPr>
            </w:pPr>
            <w:r>
              <w:rPr>
                <w:rFonts w:ascii="Calibri" w:hAnsi="Calibri" w:cs="Calibri"/>
                <w:color w:val="000000" w:themeColor="text1"/>
                <w:kern w:val="0"/>
                <w:sz w:val="20"/>
                <w:szCs w:val="20"/>
                <w14:textFill>
                  <w14:solidFill>
                    <w14:schemeClr w14:val="tx1"/>
                  </w14:solidFill>
                </w14:textFill>
              </w:rPr>
              <w:t>0</w:t>
            </w:r>
          </w:p>
        </w:tc>
      </w:tr>
    </w:tbl>
    <w:p>
      <w:pPr>
        <w:spacing w:line="56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四、政府信息公开行政复议、行政诉讼情况</w:t>
      </w:r>
    </w:p>
    <w:tbl>
      <w:tblPr>
        <w:tblStyle w:val="10"/>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行政复议</w:t>
            </w:r>
          </w:p>
        </w:tc>
        <w:tc>
          <w:tcPr>
            <w:tcW w:w="6503" w:type="dxa"/>
            <w:gridSpan w:val="10"/>
            <w:tcBorders>
              <w:top w:val="single" w:color="auto" w:sz="8" w:space="0"/>
              <w:left w:val="nil"/>
              <w:bottom w:val="single" w:color="auto" w:sz="8" w:space="0"/>
              <w:right w:val="single" w:color="auto" w:sz="8" w:space="0"/>
            </w:tcBorders>
            <w:shd w:val="clear" w:color="auto" w:fill="BDD7EE"/>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结果维持</w:t>
            </w:r>
          </w:p>
        </w:tc>
        <w:tc>
          <w:tcPr>
            <w:tcW w:w="6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结果</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纠正</w:t>
            </w:r>
          </w:p>
        </w:tc>
        <w:tc>
          <w:tcPr>
            <w:tcW w:w="64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其他</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结果</w:t>
            </w:r>
          </w:p>
        </w:tc>
        <w:tc>
          <w:tcPr>
            <w:tcW w:w="64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尚未</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审结</w:t>
            </w:r>
          </w:p>
        </w:tc>
        <w:tc>
          <w:tcPr>
            <w:tcW w:w="64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总计</w:t>
            </w:r>
          </w:p>
        </w:tc>
        <w:tc>
          <w:tcPr>
            <w:tcW w:w="3248" w:type="dxa"/>
            <w:gridSpan w:val="5"/>
            <w:tcBorders>
              <w:top w:val="single" w:color="auto" w:sz="8" w:space="0"/>
              <w:left w:val="nil"/>
              <w:bottom w:val="single" w:color="auto" w:sz="8" w:space="0"/>
              <w:right w:val="single" w:color="auto" w:sz="8" w:space="0"/>
            </w:tcBorders>
            <w:shd w:val="clear" w:color="auto" w:fill="DDEBF7"/>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DDEBF7"/>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49" w:type="dxa"/>
            <w:vMerge w:val="continue"/>
            <w:tcBorders>
              <w:top w:val="nil"/>
              <w:left w:val="nil"/>
              <w:bottom w:val="single"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49" w:type="dxa"/>
            <w:vMerge w:val="continue"/>
            <w:tcBorders>
              <w:top w:val="single" w:color="auto" w:sz="8" w:space="0"/>
              <w:left w:val="nil"/>
              <w:bottom w:val="single"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49" w:type="dxa"/>
            <w:vMerge w:val="continue"/>
            <w:tcBorders>
              <w:top w:val="single" w:color="auto" w:sz="8" w:space="0"/>
              <w:left w:val="nil"/>
              <w:bottom w:val="single"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49" w:type="dxa"/>
            <w:vMerge w:val="continue"/>
            <w:tcBorders>
              <w:top w:val="single" w:color="auto" w:sz="8" w:space="0"/>
              <w:left w:val="nil"/>
              <w:bottom w:val="single" w:color="auto" w:sz="8" w:space="0"/>
              <w:right w:val="single" w:color="auto" w:sz="8" w:space="0"/>
            </w:tcBorders>
            <w:vAlign w:val="center"/>
          </w:tcPr>
          <w:p>
            <w:pPr>
              <w:widowControl/>
              <w:spacing w:line="560" w:lineRule="exact"/>
              <w:jc w:val="left"/>
              <w:rPr>
                <w:color w:val="000000" w:themeColor="text1"/>
                <w14:textFill>
                  <w14:solidFill>
                    <w14:schemeClr w14:val="tx1"/>
                  </w14:solidFill>
                </w14:textFill>
              </w:rPr>
            </w:pP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结果</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维持</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结果</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纠正</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其他</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结果</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尚未</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审结</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总计</w:t>
            </w:r>
          </w:p>
        </w:tc>
        <w:tc>
          <w:tcPr>
            <w:tcW w:w="6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结果</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维持</w:t>
            </w:r>
          </w:p>
        </w:tc>
        <w:tc>
          <w:tcPr>
            <w:tcW w:w="6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结果</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纠正</w:t>
            </w:r>
          </w:p>
        </w:tc>
        <w:tc>
          <w:tcPr>
            <w:tcW w:w="6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其他</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结果</w:t>
            </w:r>
          </w:p>
        </w:tc>
        <w:tc>
          <w:tcPr>
            <w:tcW w:w="6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尚未</w:t>
            </w:r>
            <w:r>
              <w:rPr>
                <w:rFonts w:hint="eastAsia" w:ascii="宋体" w:hAnsi="宋体"/>
                <w:color w:val="000000" w:themeColor="text1"/>
                <w:kern w:val="0"/>
                <w:sz w:val="20"/>
                <w:szCs w:val="20"/>
                <w14:textFill>
                  <w14:solidFill>
                    <w14:schemeClr w14:val="tx1"/>
                  </w14:solidFill>
                </w14:textFill>
              </w:rPr>
              <w:br w:type="textWrapping"/>
            </w:r>
            <w:r>
              <w:rPr>
                <w:rFonts w:hint="eastAsia" w:ascii="宋体" w:hAnsi="宋体"/>
                <w:color w:val="000000" w:themeColor="text1"/>
                <w:kern w:val="0"/>
                <w:sz w:val="20"/>
                <w:szCs w:val="20"/>
                <w14:textFill>
                  <w14:solidFill>
                    <w14:schemeClr w14:val="tx1"/>
                  </w14:solidFill>
                </w14:textFill>
              </w:rPr>
              <w:t>审结</w:t>
            </w:r>
          </w:p>
        </w:tc>
        <w:tc>
          <w:tcPr>
            <w:tcW w:w="6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1</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1</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color w:val="000000" w:themeColor="text1"/>
                <w14:textFill>
                  <w14:solidFill>
                    <w14:schemeClr w14:val="tx1"/>
                  </w14:solidFill>
                </w14:textFill>
              </w:rPr>
            </w:pPr>
            <w:r>
              <w:rPr>
                <w:rFonts w:ascii="黑体" w:hAnsi="宋体" w:eastAsia="黑体"/>
                <w:color w:val="000000" w:themeColor="text1"/>
                <w:kern w:val="0"/>
                <w:sz w:val="20"/>
                <w:szCs w:val="20"/>
                <w14:textFill>
                  <w14:solidFill>
                    <w14:schemeClr w14:val="tx1"/>
                  </w14:solidFill>
                </w14:textFill>
              </w:rPr>
              <w:t>0</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p>
        </w:tc>
      </w:tr>
    </w:tbl>
    <w:p>
      <w:pPr>
        <w:pStyle w:val="2"/>
        <w:ind w:right="672" w:firstLine="504" w:firstLineChars="150"/>
        <w:rPr>
          <w:rFonts w:ascii="黑体" w:hAnsi="黑体" w:eastAsia="黑体"/>
          <w:color w:val="000000" w:themeColor="text1"/>
          <w:spacing w:val="8"/>
          <w:kern w:val="0"/>
          <w:sz w:val="32"/>
          <w:szCs w:val="32"/>
          <w14:textFill>
            <w14:solidFill>
              <w14:schemeClr w14:val="tx1"/>
            </w14:solidFill>
          </w14:textFill>
        </w:rPr>
      </w:pPr>
      <w:r>
        <w:rPr>
          <w:rFonts w:hint="eastAsia" w:ascii="黑体" w:hAnsi="黑体" w:eastAsia="黑体"/>
          <w:color w:val="000000" w:themeColor="text1"/>
          <w:spacing w:val="8"/>
          <w:kern w:val="0"/>
          <w:sz w:val="32"/>
          <w:szCs w:val="32"/>
          <w14:textFill>
            <w14:solidFill>
              <w14:schemeClr w14:val="tx1"/>
            </w14:solidFill>
          </w14:textFill>
        </w:rPr>
        <w:t>五、存在的主要问题及改进情况</w:t>
      </w:r>
    </w:p>
    <w:p>
      <w:pPr>
        <w:pStyle w:val="2"/>
        <w:ind w:right="672" w:firstLine="672" w:firstLineChars="200"/>
        <w:rPr>
          <w:rFonts w:hint="eastAsia" w:ascii="仿宋_GB2312" w:hAnsi="宋体" w:eastAsia="仿宋_GB2312"/>
          <w:color w:val="000000" w:themeColor="text1"/>
          <w:spacing w:val="8"/>
          <w:kern w:val="0"/>
          <w:sz w:val="32"/>
          <w:szCs w:val="32"/>
          <w14:textFill>
            <w14:solidFill>
              <w14:schemeClr w14:val="tx1"/>
            </w14:solidFill>
          </w14:textFill>
        </w:rPr>
      </w:pPr>
      <w:r>
        <w:rPr>
          <w:rFonts w:hint="eastAsia" w:ascii="仿宋_GB2312" w:hAnsi="宋体" w:eastAsia="仿宋_GB2312"/>
          <w:color w:val="000000" w:themeColor="text1"/>
          <w:spacing w:val="8"/>
          <w:kern w:val="0"/>
          <w:sz w:val="32"/>
          <w:szCs w:val="32"/>
          <w14:textFill>
            <w14:solidFill>
              <w14:schemeClr w14:val="tx1"/>
            </w14:solidFill>
          </w14:textFill>
        </w:rPr>
        <w:t>个别工作人员对信息公开有关政策性要求理解还不够全面透彻，我单位</w:t>
      </w:r>
      <w:r>
        <w:rPr>
          <w:rFonts w:ascii="仿宋_GB2312" w:hAnsi="宋体" w:eastAsia="仿宋_GB2312"/>
          <w:color w:val="000000" w:themeColor="text1"/>
          <w:spacing w:val="8"/>
          <w:kern w:val="0"/>
          <w:sz w:val="32"/>
          <w:szCs w:val="32"/>
          <w14:textFill>
            <w14:solidFill>
              <w14:schemeClr w14:val="tx1"/>
            </w14:solidFill>
          </w14:textFill>
        </w:rPr>
        <w:t>进一步加强</w:t>
      </w:r>
      <w:r>
        <w:rPr>
          <w:rFonts w:hint="eastAsia" w:ascii="仿宋_GB2312" w:hAnsi="宋体" w:eastAsia="仿宋_GB2312"/>
          <w:color w:val="000000" w:themeColor="text1"/>
          <w:spacing w:val="8"/>
          <w:kern w:val="0"/>
          <w:sz w:val="32"/>
          <w:szCs w:val="32"/>
          <w14:textFill>
            <w14:solidFill>
              <w14:schemeClr w14:val="tx1"/>
            </w14:solidFill>
          </w14:textFill>
        </w:rPr>
        <w:t>信息公开培训力度，着力提高机关工作人员信息公开专业化</w:t>
      </w:r>
      <w:r>
        <w:rPr>
          <w:rFonts w:ascii="仿宋_GB2312" w:hAnsi="宋体" w:eastAsia="仿宋_GB2312"/>
          <w:color w:val="000000" w:themeColor="text1"/>
          <w:spacing w:val="8"/>
          <w:kern w:val="0"/>
          <w:sz w:val="32"/>
          <w:szCs w:val="32"/>
          <w14:textFill>
            <w14:solidFill>
              <w14:schemeClr w14:val="tx1"/>
            </w14:solidFill>
          </w14:textFill>
        </w:rPr>
        <w:t>能力</w:t>
      </w:r>
      <w:r>
        <w:rPr>
          <w:rFonts w:hint="eastAsia" w:ascii="仿宋_GB2312" w:hAnsi="宋体" w:eastAsia="仿宋_GB2312"/>
          <w:color w:val="000000" w:themeColor="text1"/>
          <w:spacing w:val="8"/>
          <w:kern w:val="0"/>
          <w:sz w:val="32"/>
          <w:szCs w:val="32"/>
          <w14:textFill>
            <w14:solidFill>
              <w14:schemeClr w14:val="tx1"/>
            </w14:solidFill>
          </w14:textFill>
        </w:rPr>
        <w:t>，持续提升政务公开工作水平。</w:t>
      </w:r>
      <w:bookmarkStart w:id="0" w:name="_GoBack"/>
      <w:bookmarkEnd w:id="0"/>
    </w:p>
    <w:p>
      <w:pPr>
        <w:pStyle w:val="2"/>
        <w:ind w:right="672" w:firstLine="504" w:firstLineChars="150"/>
        <w:rPr>
          <w:rFonts w:ascii="黑体" w:hAnsi="黑体" w:eastAsia="黑体"/>
          <w:color w:val="000000" w:themeColor="text1"/>
          <w:spacing w:val="8"/>
          <w:kern w:val="0"/>
          <w:sz w:val="32"/>
          <w:szCs w:val="32"/>
          <w14:textFill>
            <w14:solidFill>
              <w14:schemeClr w14:val="tx1"/>
            </w14:solidFill>
          </w14:textFill>
        </w:rPr>
      </w:pPr>
      <w:r>
        <w:rPr>
          <w:rFonts w:hint="eastAsia" w:ascii="黑体" w:hAnsi="黑体" w:eastAsia="黑体"/>
          <w:color w:val="000000" w:themeColor="text1"/>
          <w:spacing w:val="8"/>
          <w:kern w:val="0"/>
          <w:sz w:val="32"/>
          <w:szCs w:val="32"/>
          <w14:textFill>
            <w14:solidFill>
              <w14:schemeClr w14:val="tx1"/>
            </w14:solidFill>
          </w14:textFill>
        </w:rPr>
        <w:t>六、其他需要报告的事项</w:t>
      </w:r>
    </w:p>
    <w:p>
      <w:pPr>
        <w:pStyle w:val="2"/>
        <w:ind w:right="672" w:firstLine="504" w:firstLineChars="150"/>
        <w:rPr>
          <w:rFonts w:ascii="仿宋_GB2312" w:hAnsi="宋体" w:eastAsia="仿宋_GB2312"/>
          <w:color w:val="000000" w:themeColor="text1"/>
          <w:spacing w:val="8"/>
          <w:kern w:val="0"/>
          <w:sz w:val="32"/>
          <w:szCs w:val="32"/>
          <w14:textFill>
            <w14:solidFill>
              <w14:schemeClr w14:val="tx1"/>
            </w14:solidFill>
          </w14:textFill>
        </w:rPr>
      </w:pPr>
      <w:r>
        <w:rPr>
          <w:rFonts w:ascii="仿宋_GB2312" w:hAnsi="宋体" w:eastAsia="仿宋_GB2312"/>
          <w:color w:val="000000" w:themeColor="text1"/>
          <w:spacing w:val="8"/>
          <w:kern w:val="0"/>
          <w:sz w:val="32"/>
          <w:szCs w:val="32"/>
          <w14:textFill>
            <w14:solidFill>
              <w14:schemeClr w14:val="tx1"/>
            </w14:solidFill>
          </w14:textFill>
        </w:rPr>
        <w:t>我单位本年度发出收费通知的件数和总金额以及实际收取的总金额均为0。</w:t>
      </w:r>
    </w:p>
    <w:p>
      <w:pPr>
        <w:pStyle w:val="2"/>
        <w:jc w:val="right"/>
        <w:rPr>
          <w:rFonts w:ascii="仿宋_GB2312" w:hAnsi="宋体" w:eastAsia="仿宋_GB2312"/>
          <w:color w:val="000000" w:themeColor="text1"/>
          <w:spacing w:val="8"/>
          <w:kern w:val="0"/>
          <w:sz w:val="32"/>
          <w:szCs w:val="32"/>
          <w14:textFill>
            <w14:solidFill>
              <w14:schemeClr w14:val="tx1"/>
            </w14:solidFill>
          </w14:textFill>
        </w:rPr>
      </w:pPr>
    </w:p>
    <w:p>
      <w:pPr>
        <w:pStyle w:val="2"/>
        <w:rPr>
          <w:rFonts w:ascii="仿宋_GB2312" w:hAnsi="宋体" w:eastAsia="仿宋_GB2312"/>
          <w:color w:val="000000" w:themeColor="text1"/>
          <w:spacing w:val="8"/>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4C"/>
    <w:rsid w:val="00007413"/>
    <w:rsid w:val="00022223"/>
    <w:rsid w:val="001F7DFE"/>
    <w:rsid w:val="00212AEF"/>
    <w:rsid w:val="00226CA7"/>
    <w:rsid w:val="00245CC7"/>
    <w:rsid w:val="00302111"/>
    <w:rsid w:val="003054A9"/>
    <w:rsid w:val="00306FA5"/>
    <w:rsid w:val="003605A9"/>
    <w:rsid w:val="003711FB"/>
    <w:rsid w:val="00402139"/>
    <w:rsid w:val="0045208F"/>
    <w:rsid w:val="004979CA"/>
    <w:rsid w:val="004E05CA"/>
    <w:rsid w:val="0056474C"/>
    <w:rsid w:val="0062405C"/>
    <w:rsid w:val="0062776E"/>
    <w:rsid w:val="00650B71"/>
    <w:rsid w:val="00680340"/>
    <w:rsid w:val="006978CE"/>
    <w:rsid w:val="00773131"/>
    <w:rsid w:val="00792F1F"/>
    <w:rsid w:val="007F0D95"/>
    <w:rsid w:val="00857841"/>
    <w:rsid w:val="008E4C83"/>
    <w:rsid w:val="00A87100"/>
    <w:rsid w:val="00B323D9"/>
    <w:rsid w:val="00B62EAC"/>
    <w:rsid w:val="00C360AD"/>
    <w:rsid w:val="00C42CA6"/>
    <w:rsid w:val="00CB13A2"/>
    <w:rsid w:val="00CC0B65"/>
    <w:rsid w:val="00D62913"/>
    <w:rsid w:val="00DA2027"/>
    <w:rsid w:val="00DD2FC7"/>
    <w:rsid w:val="00DE4C7D"/>
    <w:rsid w:val="00EE0F39"/>
    <w:rsid w:val="00F13428"/>
    <w:rsid w:val="00F83165"/>
    <w:rsid w:val="6E39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cs="宋体"/>
    </w:rPr>
  </w:style>
  <w:style w:type="paragraph" w:styleId="4">
    <w:name w:val="Date"/>
    <w:basedOn w:val="1"/>
    <w:next w:val="1"/>
    <w:link w:val="19"/>
    <w:semiHidden/>
    <w:unhideWhenUsed/>
    <w:uiPriority w:val="99"/>
    <w:pPr>
      <w:ind w:left="100" w:leftChars="2500"/>
    </w:pPr>
  </w:style>
  <w:style w:type="paragraph" w:styleId="5">
    <w:name w:val="Body Text Indent 2"/>
    <w:basedOn w:val="1"/>
    <w:link w:val="17"/>
    <w:unhideWhenUsed/>
    <w:uiPriority w:val="99"/>
    <w:pPr>
      <w:spacing w:before="100" w:beforeAutospacing="1" w:after="120" w:line="480" w:lineRule="auto"/>
      <w:ind w:left="420" w:leftChars="200"/>
    </w:pPr>
  </w:style>
  <w:style w:type="paragraph" w:styleId="6">
    <w:name w:val="Balloon Text"/>
    <w:basedOn w:val="1"/>
    <w:link w:val="20"/>
    <w:semiHidden/>
    <w:unhideWhenUsed/>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spacing w:before="100" w:beforeAutospacing="1" w:after="100" w:afterAutospacing="1"/>
      <w:jc w:val="left"/>
    </w:pPr>
    <w:rPr>
      <w:kern w:val="0"/>
      <w:sz w:val="24"/>
      <w:szCs w:val="24"/>
    </w:rPr>
  </w:style>
  <w:style w:type="character" w:styleId="12">
    <w:name w:val="Hyperlink"/>
    <w:basedOn w:val="11"/>
    <w:unhideWhenUsed/>
    <w:qFormat/>
    <w:uiPriority w:val="99"/>
    <w:rPr>
      <w:color w:val="0000FF"/>
      <w:u w:val="single"/>
    </w:rPr>
  </w:style>
  <w:style w:type="character" w:customStyle="1" w:styleId="13">
    <w:name w:val="纯文本 字符"/>
    <w:basedOn w:val="11"/>
    <w:link w:val="2"/>
    <w:uiPriority w:val="99"/>
    <w:rPr>
      <w:rFonts w:ascii="宋体" w:hAnsi="Courier New" w:eastAsia="宋体" w:cs="宋体"/>
      <w:szCs w:val="21"/>
    </w:rPr>
  </w:style>
  <w:style w:type="character" w:customStyle="1" w:styleId="14">
    <w:name w:val="页眉 字符"/>
    <w:basedOn w:val="11"/>
    <w:link w:val="8"/>
    <w:uiPriority w:val="99"/>
    <w:rPr>
      <w:rFonts w:ascii="Times New Roman" w:hAnsi="Times New Roman" w:eastAsia="宋体" w:cs="Times New Roman"/>
      <w:sz w:val="18"/>
      <w:szCs w:val="18"/>
    </w:rPr>
  </w:style>
  <w:style w:type="character" w:customStyle="1" w:styleId="15">
    <w:name w:val="页脚 字符"/>
    <w:basedOn w:val="11"/>
    <w:link w:val="7"/>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正文文本缩进 2 字符"/>
    <w:basedOn w:val="11"/>
    <w:link w:val="5"/>
    <w:uiPriority w:val="99"/>
    <w:rPr>
      <w:rFonts w:ascii="Times New Roman" w:hAnsi="Times New Roman" w:eastAsia="宋体" w:cs="Times New Roman"/>
      <w:szCs w:val="21"/>
    </w:rPr>
  </w:style>
  <w:style w:type="character" w:customStyle="1" w:styleId="18">
    <w:name w:val="标题 2 字符"/>
    <w:basedOn w:val="11"/>
    <w:link w:val="3"/>
    <w:uiPriority w:val="9"/>
    <w:rPr>
      <w:rFonts w:ascii="宋体" w:hAnsi="宋体" w:eastAsia="宋体" w:cs="宋体"/>
      <w:b/>
      <w:bCs/>
      <w:kern w:val="0"/>
      <w:sz w:val="36"/>
      <w:szCs w:val="36"/>
    </w:rPr>
  </w:style>
  <w:style w:type="character" w:customStyle="1" w:styleId="19">
    <w:name w:val="日期 字符"/>
    <w:basedOn w:val="11"/>
    <w:link w:val="4"/>
    <w:semiHidden/>
    <w:uiPriority w:val="99"/>
    <w:rPr>
      <w:rFonts w:ascii="Times New Roman" w:hAnsi="Times New Roman" w:eastAsia="宋体" w:cs="Times New Roman"/>
      <w:szCs w:val="21"/>
    </w:rPr>
  </w:style>
  <w:style w:type="character" w:customStyle="1" w:styleId="20">
    <w:name w:val="批注框文本 字符"/>
    <w:basedOn w:val="11"/>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377</Words>
  <Characters>2153</Characters>
  <Lines>17</Lines>
  <Paragraphs>5</Paragraphs>
  <TotalTime>379</TotalTime>
  <ScaleCrop>false</ScaleCrop>
  <LinksUpToDate>false</LinksUpToDate>
  <CharactersWithSpaces>2525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2023-01-04T07:50:00Z</dcterms:created>
  <dc:creator>pc</dc:creator>
  <cp:lastModifiedBy>shen</cp:lastModifiedBy>
  <cp:lastPrinted>2023-01-05T00:59:00Z</cp:lastPrinted>
  <dcterms:modified xsi:type="dcterms:W3CDTF">2023-01-13T03:18:00Z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