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北京市大兴区人力资源和社会保障局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（一）组织领导情况</w:t>
      </w:r>
    </w:p>
    <w:p>
      <w:pPr>
        <w:widowControl/>
        <w:spacing w:line="560" w:lineRule="exact"/>
        <w:ind w:firstLine="675"/>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为进一步推进全局政务公开工作，我局成立以局长为组长、主管信息公开工作副局长为副组长的政府信息公开领导小组，下设领导小组办公室，并由专职工作人员推进、指导、协调信息公开工作，各业务部门负责拟公开信息的收集报送，确保及时向公众传递政府信息，增强了信息公开的规范性、时效性。</w:t>
      </w:r>
    </w:p>
    <w:p>
      <w:pPr>
        <w:widowControl/>
        <w:spacing w:line="560" w:lineRule="exact"/>
        <w:ind w:firstLine="675"/>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（二）主动公开情况</w:t>
      </w:r>
    </w:p>
    <w:p>
      <w:pPr>
        <w:widowControl/>
        <w:spacing w:line="560" w:lineRule="exact"/>
        <w:ind w:firstLine="675"/>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我局依据《大兴区2022年政务公开工作要点》、《大兴区人力资源和社会保障局政府信息主动公开全清单》，重点推进民生保障信息公开。一是进一步按照规定动作完善区人民政府网站重点领域信息公开专栏，发布信息均经过层层把关，确保公开内容的权威性、准确性、丰富性。二是加大政务新媒体发布力度，定期更新“职业指导微课堂”、“兴·知·荟”等专题，集中发布各类招聘信息、政策解读。坚持把群众满意度作为衡量政务公开效果的重要标准，突出主动服务、便民快捷，提升服务对象获得感。</w:t>
      </w:r>
    </w:p>
    <w:p>
      <w:pPr>
        <w:widowControl/>
        <w:spacing w:line="560" w:lineRule="exact"/>
        <w:ind w:firstLine="675"/>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（三）依申请公开情况</w:t>
      </w:r>
    </w:p>
    <w:p>
      <w:pPr>
        <w:widowControl/>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2022年共收到政府信息公开申请5条，上年结转政府信息公开申请1条，均严格按照《中华人民共和国政府信息公开条例》做好登记、办理、回复、归档等工作，并在法定时限内予以答复，</w:t>
      </w:r>
      <w:r>
        <w:rPr>
          <w:rFonts w:hint="eastAsia" w:ascii="仿宋_GB2312" w:hAnsi="仿宋_GB2312" w:eastAsia="仿宋_GB2312" w:cs="仿宋_GB2312"/>
          <w:b w:val="0"/>
          <w:bCs w:val="0"/>
          <w:sz w:val="32"/>
          <w:szCs w:val="32"/>
          <w:lang w:eastAsia="zh-CN"/>
        </w:rPr>
        <w:t>未出现行政复议及诉讼案件。</w:t>
      </w:r>
    </w:p>
    <w:p>
      <w:pPr>
        <w:widowControl/>
        <w:spacing w:line="560" w:lineRule="exact"/>
        <w:ind w:firstLine="675"/>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（四）政府信息管理情况</w:t>
      </w:r>
    </w:p>
    <w:p>
      <w:pPr>
        <w:widowControl/>
        <w:spacing w:line="560" w:lineRule="exact"/>
        <w:ind w:firstLine="675"/>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大兴区人力资源和社会保障局政府信息主动公开全清单》作为重要抓手，并实行动态管理机制，以政务公开全清单为靶向，指导落实全局信息公开工作。同时，严格落实信息公开审批制度，采取信息发布“三审查一复核”模式，即业务主管领导审查、信息公开工作主管领导审查、保密审查，在信息发布前再次复核的模式，确保对外公开信息内容规范、准确。</w:t>
      </w:r>
    </w:p>
    <w:p>
      <w:pPr>
        <w:widowControl/>
        <w:numPr>
          <w:ilvl w:val="0"/>
          <w:numId w:val="1"/>
        </w:numPr>
        <w:spacing w:line="560" w:lineRule="exact"/>
        <w:ind w:firstLine="675"/>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政府信息公开平台建设</w:t>
      </w:r>
    </w:p>
    <w:p>
      <w:pPr>
        <w:widowControl/>
        <w:numPr>
          <w:ilvl w:val="0"/>
          <w:numId w:val="0"/>
        </w:num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我局在充分利用大兴区人民政府网站、北京大兴app的基础上，深入挖掘局政务新媒体功能，开发社保在线客服，进一步拓宽信息发布渠道，充分发挥政务新媒体服务群众的作用，强化政府信息公开实效。</w:t>
      </w:r>
    </w:p>
    <w:p>
      <w:pPr>
        <w:widowControl/>
        <w:numPr>
          <w:ilvl w:val="0"/>
          <w:numId w:val="1"/>
        </w:numPr>
        <w:spacing w:line="560" w:lineRule="exact"/>
        <w:ind w:left="0" w:leftChars="0" w:firstLine="675" w:firstLine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教育培训情况</w:t>
      </w:r>
    </w:p>
    <w:p>
      <w:pPr>
        <w:widowControl/>
        <w:numPr>
          <w:ilvl w:val="0"/>
          <w:numId w:val="0"/>
        </w:num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积极参加区级部门组织的政府信息公开培训的同时，我局内部也围绕《政府信息公开条例》、《大兴区2022年政务公开工作要点》、《大兴区人力资源和社会保障局政府信息主动公开全清单》进行多次培训、研讨及部署，针对实际案例，组织多种形式的学习讨论，进一步总结工作经验，提高工作人员的应对水平。</w:t>
      </w:r>
    </w:p>
    <w:p>
      <w:pPr>
        <w:widowControl/>
        <w:numPr>
          <w:ilvl w:val="0"/>
          <w:numId w:val="2"/>
        </w:numPr>
        <w:spacing w:line="560" w:lineRule="exact"/>
        <w:ind w:firstLine="675"/>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监督保障情况</w:t>
      </w:r>
    </w:p>
    <w:p>
      <w:pPr>
        <w:widowControl/>
        <w:numPr>
          <w:ilvl w:val="0"/>
          <w:numId w:val="0"/>
        </w:num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局政府信息公开领导小组对局政府信息公开的实施情况进行实时</w:t>
      </w:r>
      <w:bookmarkStart w:id="0" w:name="_GoBack"/>
      <w:bookmarkEnd w:id="0"/>
      <w:r>
        <w:rPr>
          <w:rFonts w:hint="eastAsia" w:ascii="仿宋_GB2312" w:hAnsi="仿宋_GB2312" w:eastAsia="仿宋_GB2312" w:cs="仿宋_GB2312"/>
          <w:b w:val="0"/>
          <w:bCs w:val="0"/>
          <w:sz w:val="32"/>
          <w:szCs w:val="32"/>
          <w:lang w:val="en-US" w:eastAsia="zh-CN"/>
        </w:rPr>
        <w:t>监督，每季度听取政府信息公开汇报，同时提出相关工作要求，将政府信息公开工作纳入本单位所属各部门年度考核。</w:t>
      </w:r>
    </w:p>
    <w:p>
      <w:pPr>
        <w:numPr>
          <w:ilvl w:val="0"/>
          <w:numId w:val="3"/>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color w:val="000000"/>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color w:val="000000"/>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color w:val="000000"/>
                <w:kern w:val="0"/>
                <w:sz w:val="21"/>
                <w:szCs w:val="21"/>
                <w:lang w:val="en-US" w:eastAsia="zh-CN" w:bidi="ar"/>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color w:val="000000"/>
                <w:kern w:val="0"/>
                <w:sz w:val="21"/>
                <w:szCs w:val="21"/>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仿宋_GB2312" w:hAnsi="仿宋_GB2312" w:eastAsia="仿宋_GB2312" w:cs="仿宋_GB2312"/>
                <w:kern w:val="0"/>
                <w:sz w:val="21"/>
                <w:szCs w:val="21"/>
                <w:lang w:val="en-US" w:eastAsia="zh-CN" w:bidi="ar"/>
              </w:rPr>
              <w:t>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color w:val="000000"/>
                <w:kern w:val="0"/>
                <w:sz w:val="21"/>
                <w:szCs w:val="21"/>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仿宋_GB2312" w:hAnsi="仿宋_GB2312" w:eastAsia="仿宋_GB2312" w:cs="仿宋_GB2312"/>
                <w:sz w:val="21"/>
                <w:szCs w:val="21"/>
                <w:lang w:val="en-US" w:eastAsia="zh-CN"/>
              </w:rPr>
              <w:t>0</w:t>
            </w:r>
          </w:p>
        </w:tc>
      </w:tr>
    </w:tbl>
    <w:p>
      <w:pPr>
        <w:pStyle w:val="2"/>
        <w:numPr>
          <w:ilvl w:val="0"/>
          <w:numId w:val="0"/>
        </w:numPr>
        <w:rPr>
          <w:rFonts w:hint="eastAsia"/>
        </w:rPr>
      </w:pPr>
    </w:p>
    <w:p>
      <w:pPr>
        <w:pStyle w:val="2"/>
        <w:numPr>
          <w:ilvl w:val="0"/>
          <w:numId w:val="0"/>
        </w:numPr>
        <w:rPr>
          <w:rFonts w:hint="eastAsia"/>
        </w:rPr>
      </w:pPr>
    </w:p>
    <w:p>
      <w:pPr>
        <w:numPr>
          <w:ilvl w:val="0"/>
          <w:numId w:val="3"/>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9" w:type="dxa"/>
            <w:tcBorders>
              <w:top w:val="outset" w:color="auto" w:sz="6" w:space="0"/>
              <w:left w:val="nil"/>
              <w:bottom w:val="outset" w:color="auto" w:sz="6" w:space="0"/>
              <w:right w:val="outset" w:color="auto" w:sz="6" w:space="0"/>
            </w:tcBorders>
            <w:noWrap w:val="0"/>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一是</w:t>
      </w:r>
      <w:r>
        <w:rPr>
          <w:rFonts w:hint="eastAsia" w:ascii="仿宋_GB2312" w:hAnsi="宋体" w:eastAsia="仿宋_GB2312" w:cs="宋体"/>
          <w:spacing w:val="8"/>
          <w:kern w:val="0"/>
          <w:sz w:val="32"/>
          <w:szCs w:val="32"/>
        </w:rPr>
        <w:t>公开队伍素质有待进一步提升。</w:t>
      </w:r>
      <w:r>
        <w:rPr>
          <w:rFonts w:hint="eastAsia" w:ascii="仿宋_GB2312" w:hAnsi="宋体" w:eastAsia="仿宋_GB2312" w:cs="宋体"/>
          <w:spacing w:val="8"/>
          <w:kern w:val="0"/>
          <w:sz w:val="32"/>
          <w:szCs w:val="32"/>
          <w:lang w:eastAsia="zh-CN"/>
        </w:rPr>
        <w:t>我局持续</w:t>
      </w:r>
      <w:r>
        <w:rPr>
          <w:rFonts w:hint="eastAsia" w:ascii="仿宋_GB2312" w:hAnsi="宋体" w:eastAsia="仿宋_GB2312" w:cs="宋体"/>
          <w:spacing w:val="8"/>
          <w:kern w:val="0"/>
          <w:sz w:val="32"/>
          <w:szCs w:val="32"/>
        </w:rPr>
        <w:t>强化政务公开工作队伍建设，压紧压实职责分工，加大工作培训力度，丰富培训形式，提升队伍综合素养。</w:t>
      </w:r>
    </w:p>
    <w:p>
      <w:pPr>
        <w:pStyle w:val="2"/>
        <w:ind w:firstLine="672" w:firstLineChars="200"/>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二是公开内容还需进一步丰富。我局围绕人力社保重点工作及公众普遍关注的问题，依法、全面、及时、准确地公开政府信息，增强了信息公开工作的针对性。</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宋体" w:eastAsia="仿宋_GB2312" w:cs="宋体"/>
          <w:color w:val="9BC2E6"/>
          <w:spacing w:val="8"/>
          <w:kern w:val="0"/>
          <w:sz w:val="32"/>
          <w:szCs w:val="32"/>
          <w:lang w:eastAsia="zh-CN"/>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我单位发出收费通知的件数和总金额以及实际收取的总金额均为0</w:t>
      </w:r>
      <w:r>
        <w:rPr>
          <w:rFonts w:hint="eastAsia" w:ascii="仿宋_GB2312" w:hAnsi="宋体" w:eastAsia="仿宋_GB2312" w:cs="宋体"/>
          <w:spacing w:val="8"/>
          <w:kern w:val="0"/>
          <w:sz w:val="32"/>
          <w:szCs w:val="32"/>
          <w:lang w:eastAsia="zh-CN"/>
        </w:rPr>
        <w:t>。</w:t>
      </w:r>
    </w:p>
    <w:p>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4EDEB1-673B-4B40-8A00-8BFE3F7BE2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70F2F07-4EF8-4C36-A206-0EAC4D454818}"/>
  </w:font>
  <w:font w:name="微软雅黑">
    <w:panose1 w:val="020B0503020204020204"/>
    <w:charset w:val="86"/>
    <w:family w:val="swiss"/>
    <w:pitch w:val="default"/>
    <w:sig w:usb0="80000287" w:usb1="2ACF3C50" w:usb2="00000016" w:usb3="00000000" w:csb0="0004001F" w:csb1="00000000"/>
    <w:embedRegular r:id="rId3" w:fontKey="{BF58FD79-E0E4-4686-BC3D-2B8F1900C158}"/>
  </w:font>
  <w:font w:name="仿宋_GB2312">
    <w:altName w:val="仿宋"/>
    <w:panose1 w:val="02010609030101010101"/>
    <w:charset w:val="86"/>
    <w:family w:val="auto"/>
    <w:pitch w:val="default"/>
    <w:sig w:usb0="00000000" w:usb1="00000000" w:usb2="00000000" w:usb3="00000000" w:csb0="00040000" w:csb1="00000000"/>
    <w:embedRegular r:id="rId4" w:fontKey="{256E481E-5E4C-49D2-B942-ABABBDA691F8}"/>
  </w:font>
  <w:font w:name="楷体">
    <w:panose1 w:val="02010609060101010101"/>
    <w:charset w:val="86"/>
    <w:family w:val="modern"/>
    <w:pitch w:val="default"/>
    <w:sig w:usb0="800002BF" w:usb1="38CF7CFA" w:usb2="00000016" w:usb3="00000000" w:csb0="00040001" w:csb1="00000000"/>
    <w:embedRegular r:id="rId5" w:fontKey="{C5F39F03-1F63-4845-8633-B3B7507EEE1E}"/>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73536"/>
    <w:multiLevelType w:val="singleLevel"/>
    <w:tmpl w:val="C2273536"/>
    <w:lvl w:ilvl="0" w:tentative="0">
      <w:start w:val="7"/>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rPr>
        <w:rFonts w:hint="eastAsia"/>
      </w:rPr>
    </w:lvl>
  </w:abstractNum>
  <w:abstractNum w:abstractNumId="2">
    <w:nsid w:val="7DC6831A"/>
    <w:multiLevelType w:val="singleLevel"/>
    <w:tmpl w:val="7DC6831A"/>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73DB586F"/>
    <w:rsid w:val="0AE333EF"/>
    <w:rsid w:val="1E8C6C56"/>
    <w:rsid w:val="25D04A4E"/>
    <w:rsid w:val="271F4B0D"/>
    <w:rsid w:val="329B387F"/>
    <w:rsid w:val="36C110A7"/>
    <w:rsid w:val="38614C9A"/>
    <w:rsid w:val="3F216865"/>
    <w:rsid w:val="3F3319FE"/>
    <w:rsid w:val="3FF355F7"/>
    <w:rsid w:val="46556DF9"/>
    <w:rsid w:val="478F5B44"/>
    <w:rsid w:val="49DD169D"/>
    <w:rsid w:val="4BC02EF3"/>
    <w:rsid w:val="557271B8"/>
    <w:rsid w:val="5CEF2012"/>
    <w:rsid w:val="66566457"/>
    <w:rsid w:val="6DD203B9"/>
    <w:rsid w:val="73DB586F"/>
    <w:rsid w:val="76A52ED5"/>
    <w:rsid w:val="7ACA6F09"/>
    <w:rsid w:val="7CC97819"/>
    <w:rsid w:val="7CCC78B5"/>
    <w:rsid w:val="7DCD7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2146</Words>
  <Characters>2189</Characters>
  <Lines>0</Lines>
  <Paragraphs>0</Paragraphs>
  <TotalTime>145</TotalTime>
  <ScaleCrop>false</ScaleCrop>
  <LinksUpToDate>false</LinksUpToDate>
  <CharactersWithSpaces>2200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2023-01-05T02:40:00Z</dcterms:created>
  <dc:creator>芝士改变命运</dc:creator>
  <cp:lastModifiedBy>米露露</cp:lastModifiedBy>
  <dcterms:modified xsi:type="dcterms:W3CDTF">2023-01-15T13:03:39Z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C8B9EE607CD8485AACFD29F08A318B40</vt:lpwstr>
  </property>
</Properties>
</file>