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北京市大兴区市场监督管理局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（一）组织领导。</w:t>
      </w:r>
      <w:r>
        <w:rPr>
          <w:rFonts w:hint="eastAsia" w:ascii="仿宋_GB2312" w:hAnsi="宋体" w:eastAsia="仿宋_GB2312" w:cs="宋体"/>
          <w:spacing w:val="8"/>
          <w:kern w:val="0"/>
          <w:sz w:val="32"/>
          <w:szCs w:val="32"/>
        </w:rPr>
        <w:t>持续推动政府信息公开工作再上新台阶，成立局政府信息公开工作领导小组，负责统筹、组织、推进、监督政府信息公开工作，制定政府信息公开保密审查工作制度，强化组织领导、制度建设。</w:t>
      </w:r>
    </w:p>
    <w:p>
      <w:pPr>
        <w:widowControl/>
        <w:spacing w:line="560" w:lineRule="exact"/>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（二）主动公开。202</w:t>
      </w:r>
      <w:r>
        <w:rPr>
          <w:rFonts w:hint="eastAsia" w:ascii="仿宋_GB2312" w:hAnsi="宋体" w:eastAsia="仿宋_GB2312" w:cs="宋体"/>
          <w:spacing w:val="8"/>
          <w:kern w:val="0"/>
          <w:sz w:val="32"/>
          <w:szCs w:val="32"/>
        </w:rPr>
        <w:t>2</w:t>
      </w:r>
      <w:r>
        <w:rPr>
          <w:rFonts w:ascii="仿宋_GB2312" w:hAnsi="宋体" w:eastAsia="仿宋_GB2312" w:cs="宋体"/>
          <w:spacing w:val="8"/>
          <w:kern w:val="0"/>
          <w:sz w:val="32"/>
          <w:szCs w:val="32"/>
        </w:rPr>
        <w:t>年我局通过网站主动公开政府信息</w:t>
      </w:r>
      <w:r>
        <w:rPr>
          <w:rFonts w:hint="eastAsia" w:ascii="仿宋_GB2312" w:hAnsi="宋体" w:eastAsia="仿宋_GB2312" w:cs="宋体"/>
          <w:spacing w:val="8"/>
          <w:kern w:val="0"/>
          <w:sz w:val="32"/>
          <w:szCs w:val="32"/>
        </w:rPr>
        <w:t>344</w:t>
      </w:r>
      <w:r>
        <w:rPr>
          <w:rFonts w:ascii="仿宋_GB2312" w:hAnsi="宋体" w:eastAsia="仿宋_GB2312" w:cs="宋体"/>
          <w:spacing w:val="8"/>
          <w:kern w:val="0"/>
          <w:sz w:val="32"/>
          <w:szCs w:val="32"/>
        </w:rPr>
        <w:t>条，重点领域公开政府信息数</w:t>
      </w:r>
      <w:r>
        <w:rPr>
          <w:rFonts w:hint="eastAsia" w:ascii="仿宋_GB2312" w:hAnsi="宋体" w:eastAsia="仿宋_GB2312" w:cs="宋体"/>
          <w:spacing w:val="8"/>
          <w:kern w:val="0"/>
          <w:sz w:val="32"/>
          <w:szCs w:val="32"/>
        </w:rPr>
        <w:t>332</w:t>
      </w:r>
      <w:r>
        <w:rPr>
          <w:rFonts w:ascii="仿宋_GB2312" w:hAnsi="宋体" w:eastAsia="仿宋_GB2312" w:cs="宋体"/>
          <w:spacing w:val="8"/>
          <w:kern w:val="0"/>
          <w:sz w:val="32"/>
          <w:szCs w:val="32"/>
        </w:rPr>
        <w:t>条，涉及食品药品、医疗器械、产品质量、执法检查等市场监管工作。围绕抗击疫情等重大工作，我局主动发声，在保供应、稳物价、加强食品安全、支持企业复工复产等方面主动公开政府信息。围绕群众关心的热点问题，我局持续加强食品药品、产品质量等涉及群众切身利益的政府信息公开工作。202</w:t>
      </w:r>
      <w:r>
        <w:rPr>
          <w:rFonts w:hint="eastAsia" w:ascii="仿宋_GB2312" w:hAnsi="宋体" w:eastAsia="仿宋_GB2312" w:cs="宋体"/>
          <w:spacing w:val="8"/>
          <w:kern w:val="0"/>
          <w:sz w:val="32"/>
          <w:szCs w:val="32"/>
        </w:rPr>
        <w:t>2</w:t>
      </w:r>
      <w:r>
        <w:rPr>
          <w:rFonts w:ascii="仿宋_GB2312" w:hAnsi="宋体" w:eastAsia="仿宋_GB2312" w:cs="宋体"/>
          <w:spacing w:val="8"/>
          <w:kern w:val="0"/>
          <w:sz w:val="32"/>
          <w:szCs w:val="32"/>
        </w:rPr>
        <w:t>年发布食品安全监督抽检信息公告2</w:t>
      </w:r>
      <w:r>
        <w:rPr>
          <w:rFonts w:hint="eastAsia" w:ascii="仿宋_GB2312" w:hAnsi="宋体" w:eastAsia="仿宋_GB2312" w:cs="宋体"/>
          <w:spacing w:val="8"/>
          <w:kern w:val="0"/>
          <w:sz w:val="32"/>
          <w:szCs w:val="32"/>
        </w:rPr>
        <w:t>4</w:t>
      </w:r>
      <w:r>
        <w:rPr>
          <w:rFonts w:ascii="仿宋_GB2312" w:hAnsi="宋体" w:eastAsia="仿宋_GB2312" w:cs="宋体"/>
          <w:spacing w:val="8"/>
          <w:kern w:val="0"/>
          <w:sz w:val="32"/>
          <w:szCs w:val="32"/>
        </w:rPr>
        <w:t>期，发布各类产品质量抽查结果公示信息</w:t>
      </w:r>
      <w:r>
        <w:rPr>
          <w:rFonts w:hint="eastAsia" w:ascii="仿宋_GB2312" w:hAnsi="宋体" w:eastAsia="仿宋_GB2312" w:cs="宋体"/>
          <w:spacing w:val="8"/>
          <w:kern w:val="0"/>
          <w:sz w:val="32"/>
          <w:szCs w:val="32"/>
        </w:rPr>
        <w:t>27</w:t>
      </w:r>
      <w:r>
        <w:rPr>
          <w:rFonts w:ascii="仿宋_GB2312" w:hAnsi="宋体" w:eastAsia="仿宋_GB2312" w:cs="宋体"/>
          <w:spacing w:val="8"/>
          <w:kern w:val="0"/>
          <w:sz w:val="32"/>
          <w:szCs w:val="32"/>
        </w:rPr>
        <w:t>期。</w:t>
      </w:r>
    </w:p>
    <w:p>
      <w:pPr>
        <w:widowControl/>
        <w:spacing w:line="560" w:lineRule="exact"/>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（三）依申请公开。我局202</w:t>
      </w:r>
      <w:r>
        <w:rPr>
          <w:rFonts w:hint="eastAsia" w:ascii="仿宋_GB2312" w:hAnsi="宋体" w:eastAsia="仿宋_GB2312" w:cs="宋体"/>
          <w:spacing w:val="8"/>
          <w:kern w:val="0"/>
          <w:sz w:val="32"/>
          <w:szCs w:val="32"/>
          <w:lang w:val="en-US" w:eastAsia="zh-CN"/>
        </w:rPr>
        <w:t>2</w:t>
      </w:r>
      <w:r>
        <w:rPr>
          <w:rFonts w:ascii="仿宋_GB2312" w:hAnsi="宋体" w:eastAsia="仿宋_GB2312" w:cs="宋体"/>
          <w:spacing w:val="8"/>
          <w:kern w:val="0"/>
          <w:sz w:val="32"/>
          <w:szCs w:val="32"/>
        </w:rPr>
        <w:t>年共受理政府信息公开申请</w:t>
      </w:r>
      <w:r>
        <w:rPr>
          <w:rFonts w:hint="eastAsia" w:ascii="仿宋_GB2312" w:hAnsi="宋体" w:eastAsia="仿宋_GB2312" w:cs="宋体"/>
          <w:spacing w:val="8"/>
          <w:kern w:val="0"/>
          <w:sz w:val="32"/>
          <w:szCs w:val="32"/>
        </w:rPr>
        <w:t>63</w:t>
      </w:r>
      <w:r>
        <w:rPr>
          <w:rFonts w:ascii="仿宋_GB2312" w:hAnsi="宋体" w:eastAsia="仿宋_GB2312" w:cs="宋体"/>
          <w:spacing w:val="8"/>
          <w:kern w:val="0"/>
          <w:sz w:val="32"/>
          <w:szCs w:val="32"/>
        </w:rPr>
        <w:t>件，其中通过网页申请</w:t>
      </w:r>
      <w:r>
        <w:rPr>
          <w:rFonts w:hint="eastAsia" w:ascii="仿宋_GB2312" w:hAnsi="宋体" w:eastAsia="仿宋_GB2312" w:cs="宋体"/>
          <w:spacing w:val="8"/>
          <w:kern w:val="0"/>
          <w:sz w:val="32"/>
          <w:szCs w:val="32"/>
        </w:rPr>
        <w:t>52</w:t>
      </w:r>
      <w:r>
        <w:rPr>
          <w:rFonts w:ascii="仿宋_GB2312" w:hAnsi="宋体" w:eastAsia="仿宋_GB2312" w:cs="宋体"/>
          <w:spacing w:val="8"/>
          <w:kern w:val="0"/>
          <w:sz w:val="32"/>
          <w:szCs w:val="32"/>
        </w:rPr>
        <w:t>件, 通过信函申请</w:t>
      </w:r>
      <w:r>
        <w:rPr>
          <w:rFonts w:hint="eastAsia" w:ascii="仿宋_GB2312" w:hAnsi="宋体" w:eastAsia="仿宋_GB2312" w:cs="宋体"/>
          <w:spacing w:val="8"/>
          <w:kern w:val="0"/>
          <w:sz w:val="32"/>
          <w:szCs w:val="32"/>
        </w:rPr>
        <w:t>10</w:t>
      </w:r>
      <w:r>
        <w:rPr>
          <w:rFonts w:ascii="仿宋_GB2312" w:hAnsi="宋体" w:eastAsia="仿宋_GB2312" w:cs="宋体"/>
          <w:spacing w:val="8"/>
          <w:kern w:val="0"/>
          <w:sz w:val="32"/>
          <w:szCs w:val="32"/>
        </w:rPr>
        <w:t>件，通过当面申请</w:t>
      </w:r>
      <w:r>
        <w:rPr>
          <w:rFonts w:hint="eastAsia" w:ascii="仿宋_GB2312" w:hAnsi="宋体" w:eastAsia="仿宋_GB2312" w:cs="宋体"/>
          <w:spacing w:val="8"/>
          <w:kern w:val="0"/>
          <w:sz w:val="32"/>
          <w:szCs w:val="32"/>
        </w:rPr>
        <w:t>1</w:t>
      </w:r>
      <w:r>
        <w:rPr>
          <w:rFonts w:ascii="仿宋_GB2312" w:hAnsi="宋体" w:eastAsia="仿宋_GB2312" w:cs="宋体"/>
          <w:spacing w:val="8"/>
          <w:kern w:val="0"/>
          <w:sz w:val="32"/>
          <w:szCs w:val="32"/>
        </w:rPr>
        <w:t>件，均在法定期限内办结</w:t>
      </w:r>
      <w:bookmarkStart w:id="0" w:name="_GoBack"/>
      <w:bookmarkEnd w:id="0"/>
      <w:r>
        <w:rPr>
          <w:rFonts w:ascii="仿宋_GB2312" w:hAnsi="宋体" w:eastAsia="仿宋_GB2312" w:cs="宋体"/>
          <w:spacing w:val="8"/>
          <w:kern w:val="0"/>
          <w:sz w:val="32"/>
          <w:szCs w:val="32"/>
        </w:rPr>
        <w:t>答复</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涉及行政复议</w:t>
      </w:r>
      <w:r>
        <w:rPr>
          <w:rFonts w:hint="eastAsia" w:ascii="仿宋_GB2312" w:hAnsi="宋体" w:eastAsia="仿宋_GB2312" w:cs="宋体"/>
          <w:spacing w:val="8"/>
          <w:kern w:val="0"/>
          <w:sz w:val="32"/>
          <w:szCs w:val="32"/>
        </w:rPr>
        <w:t>2件，</w:t>
      </w:r>
      <w:r>
        <w:rPr>
          <w:rFonts w:ascii="仿宋_GB2312" w:hAnsi="宋体" w:eastAsia="仿宋_GB2312" w:cs="宋体"/>
          <w:spacing w:val="8"/>
          <w:kern w:val="0"/>
          <w:sz w:val="32"/>
          <w:szCs w:val="32"/>
        </w:rPr>
        <w:t>行政诉讼</w:t>
      </w:r>
      <w:r>
        <w:rPr>
          <w:rFonts w:hint="eastAsia" w:ascii="仿宋_GB2312" w:hAnsi="宋体" w:eastAsia="仿宋_GB2312" w:cs="宋体"/>
          <w:spacing w:val="8"/>
          <w:kern w:val="0"/>
          <w:sz w:val="32"/>
          <w:szCs w:val="32"/>
        </w:rPr>
        <w:t>1件，</w:t>
      </w:r>
      <w:r>
        <w:rPr>
          <w:rFonts w:ascii="仿宋_GB2312" w:hAnsi="宋体" w:eastAsia="仿宋_GB2312" w:cs="宋体"/>
          <w:spacing w:val="8"/>
          <w:kern w:val="0"/>
          <w:sz w:val="32"/>
          <w:szCs w:val="32"/>
        </w:rPr>
        <w:t>无败诉案件。</w:t>
      </w:r>
    </w:p>
    <w:p>
      <w:pPr>
        <w:widowControl/>
        <w:spacing w:line="560" w:lineRule="exact"/>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（四）政府信息管理。我局始终坚持以公开为常态、不公开为例外，</w:t>
      </w:r>
      <w:r>
        <w:rPr>
          <w:rFonts w:hint="eastAsia" w:ascii="仿宋_GB2312" w:hAnsi="宋体" w:eastAsia="仿宋_GB2312" w:cs="宋体"/>
          <w:spacing w:val="8"/>
          <w:kern w:val="0"/>
          <w:sz w:val="32"/>
          <w:szCs w:val="32"/>
        </w:rPr>
        <w:t>遵循“谁主管、谁负责；谁公开、谁审查；先审查、后公开；一事一审查”的工作原则，强化政府信息的管理，确保公开信息合法合规。</w:t>
      </w:r>
    </w:p>
    <w:p>
      <w:pPr>
        <w:widowControl/>
        <w:spacing w:line="560" w:lineRule="exact"/>
        <w:ind w:firstLine="672" w:firstLineChars="200"/>
        <w:rPr>
          <w:rFonts w:hint="eastAsia" w:ascii="仿宋_GB2312" w:hAnsi="宋体" w:eastAsia="仿宋_GB2312" w:cs="宋体"/>
          <w:spacing w:val="8"/>
          <w:kern w:val="0"/>
          <w:sz w:val="32"/>
          <w:szCs w:val="32"/>
        </w:rPr>
      </w:pPr>
      <w:r>
        <w:rPr>
          <w:rFonts w:ascii="仿宋_GB2312" w:hAnsi="宋体" w:eastAsia="仿宋_GB2312" w:cs="宋体"/>
          <w:spacing w:val="8"/>
          <w:kern w:val="0"/>
          <w:sz w:val="32"/>
          <w:szCs w:val="32"/>
        </w:rPr>
        <w:t>（五）政府信息公开平台建设。按照市、区政务公开工作相关要求，我局202</w:t>
      </w:r>
      <w:r>
        <w:rPr>
          <w:rFonts w:hint="eastAsia" w:ascii="仿宋_GB2312" w:hAnsi="宋体" w:eastAsia="仿宋_GB2312" w:cs="宋体"/>
          <w:spacing w:val="8"/>
          <w:kern w:val="0"/>
          <w:sz w:val="32"/>
          <w:szCs w:val="32"/>
        </w:rPr>
        <w:t>2</w:t>
      </w:r>
      <w:r>
        <w:rPr>
          <w:rFonts w:ascii="仿宋_GB2312" w:hAnsi="宋体" w:eastAsia="仿宋_GB2312" w:cs="宋体"/>
          <w:spacing w:val="8"/>
          <w:kern w:val="0"/>
          <w:sz w:val="32"/>
          <w:szCs w:val="32"/>
        </w:rPr>
        <w:t>年在区食品药品监控中心开展政务开放日活动</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结合工作实际</w:t>
      </w:r>
      <w:r>
        <w:rPr>
          <w:rFonts w:hint="eastAsia" w:ascii="仿宋_GB2312" w:hAnsi="宋体" w:eastAsia="仿宋_GB2312" w:cs="宋体"/>
          <w:spacing w:val="8"/>
          <w:kern w:val="0"/>
          <w:sz w:val="32"/>
          <w:szCs w:val="32"/>
        </w:rPr>
        <w:t>运营维护官方公众号“北京大兴市场监管”及官方微博“北京大兴市场监管”，积极配合政务局主动做好时政信息等新媒体政务公开，全年公众账号发布信息600余条，微信900余条！</w:t>
      </w:r>
    </w:p>
    <w:p>
      <w:pPr>
        <w:widowControl/>
        <w:spacing w:line="560" w:lineRule="exact"/>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（六）教育培训。</w:t>
      </w:r>
      <w:r>
        <w:rPr>
          <w:rFonts w:hint="eastAsia" w:ascii="仿宋_GB2312" w:hAnsi="宋体" w:eastAsia="仿宋_GB2312" w:cs="宋体"/>
          <w:spacing w:val="8"/>
          <w:kern w:val="0"/>
          <w:sz w:val="32"/>
          <w:szCs w:val="32"/>
        </w:rPr>
        <w:t>一方面，积极参加区政务服务局举办的政府信息依申请公开培训，增强政府信息公开工作人员专业素养以及处理政府信息公开的能力和水平。另一方面，注重加强内部培训，将普遍性问题以业务指导的形式下发，指导各部门办理政府信息公开，提升政府信息公开整体水平</w:t>
      </w:r>
      <w:r>
        <w:rPr>
          <w:rFonts w:ascii="仿宋_GB2312" w:hAnsi="宋体" w:eastAsia="仿宋_GB2312" w:cs="宋体"/>
          <w:spacing w:val="8"/>
          <w:kern w:val="0"/>
          <w:sz w:val="32"/>
          <w:szCs w:val="32"/>
        </w:rPr>
        <w:t xml:space="preserve">。全年我局组织开展政府信息公开教育培训2次，参加大兴区政务服务局组织召开的政务公开工作推进会 </w:t>
      </w:r>
      <w:r>
        <w:rPr>
          <w:rFonts w:hint="eastAsia" w:ascii="仿宋_GB2312" w:hAnsi="宋体" w:eastAsia="仿宋_GB2312" w:cs="宋体"/>
          <w:spacing w:val="8"/>
          <w:kern w:val="0"/>
          <w:sz w:val="32"/>
          <w:szCs w:val="32"/>
        </w:rPr>
        <w:t>3</w:t>
      </w:r>
      <w:r>
        <w:rPr>
          <w:rFonts w:ascii="仿宋_GB2312" w:hAnsi="宋体" w:eastAsia="仿宋_GB2312" w:cs="宋体"/>
          <w:spacing w:val="8"/>
          <w:kern w:val="0"/>
          <w:sz w:val="32"/>
          <w:szCs w:val="32"/>
        </w:rPr>
        <w:t>次，共参加培训15人次。</w:t>
      </w:r>
    </w:p>
    <w:p>
      <w:pPr>
        <w:widowControl/>
        <w:spacing w:line="560" w:lineRule="exact"/>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（七）监督保障</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本年度我局充分发挥以政府信息公开促市场监管工作落实、促工作规范、促服务能力提升的广泛作用，为市场监管工作接受社会各界和人民群众监督提供有力保障，为提升大兴区市场监管工作和服务水平发挥积极作用。</w:t>
      </w:r>
    </w:p>
    <w:p>
      <w:pPr>
        <w:widowControl/>
        <w:spacing w:line="560" w:lineRule="exact"/>
        <w:ind w:firstLine="672" w:firstLineChars="200"/>
        <w:rPr>
          <w:rFonts w:ascii="仿宋_GB2312" w:hAnsi="宋体" w:eastAsia="仿宋_GB2312" w:cs="宋体"/>
          <w:spacing w:val="8"/>
          <w:kern w:val="0"/>
          <w:sz w:val="32"/>
          <w:szCs w:val="32"/>
        </w:rPr>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6"/>
        <w:tblW w:w="0" w:type="auto"/>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现行有效件</w:t>
            </w:r>
            <w:r>
              <w:rPr>
                <w:rFonts w:hint="eastAsia" w:ascii="宋体" w:hAnsi="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Cs w:val="21"/>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Cs w:val="21"/>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rPr>
              <w:t>66132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4037</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ascii="宋体"/>
                <w:sz w:val="24"/>
              </w:rPr>
            </w:pPr>
            <w:r>
              <w:rPr>
                <w:rFonts w:hint="eastAsia" w:ascii="宋体" w:hAnsi="宋体" w:cs="宋体"/>
                <w:color w:val="000000"/>
                <w:kern w:val="0"/>
                <w:sz w:val="20"/>
                <w:szCs w:val="20"/>
              </w:rPr>
              <w:t>857.870676</w:t>
            </w:r>
          </w:p>
        </w:tc>
      </w:tr>
    </w:tbl>
    <w:p>
      <w:pPr>
        <w:pStyle w:val="2"/>
      </w:pPr>
    </w:p>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5"/>
        <w:widowControl/>
        <w:shd w:val="clear" w:color="auto" w:fill="FFFFFF"/>
        <w:spacing w:before="0" w:beforeAutospacing="0" w:after="0" w:afterAutospacing="0"/>
        <w:jc w:val="both"/>
        <w:rPr>
          <w:rFonts w:ascii="宋体" w:hAnsi="宋体" w:cs="宋体"/>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商业</w:t>
            </w:r>
          </w:p>
          <w:p>
            <w:pPr>
              <w:widowControl/>
              <w:jc w:val="center"/>
            </w:pPr>
            <w:r>
              <w:rPr>
                <w:rFonts w:hint="eastAsia" w:ascii="宋体" w:hAnsi="宋体" w:cs="宋体"/>
                <w:kern w:val="0"/>
                <w:sz w:val="20"/>
                <w:szCs w:val="20"/>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科研</w:t>
            </w:r>
          </w:p>
          <w:p>
            <w:pPr>
              <w:widowControl/>
              <w:jc w:val="center"/>
            </w:pPr>
            <w:r>
              <w:rPr>
                <w:rFonts w:hint="eastAsia" w:ascii="宋体" w:hAnsi="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61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（二）部分公开</w:t>
            </w:r>
            <w:r>
              <w:rPr>
                <w:rFonts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outset"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rPr>
              <w:t>61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rPr>
              <w:t>四、结转下年度继续办理</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ascii="Calibri" w:hAnsi="Calibri" w:cs="Calibri"/>
                <w:kern w:val="0"/>
                <w:sz w:val="20"/>
                <w:szCs w:val="20"/>
              </w:rPr>
              <w:t> </w:t>
            </w:r>
            <w:r>
              <w:rPr>
                <w:rFonts w:hint="eastAsia" w:ascii="Calibri" w:hAnsi="Calibri" w:cs="Calibri"/>
                <w:kern w:val="0"/>
                <w:sz w:val="20"/>
                <w:szCs w:val="20"/>
              </w:rPr>
              <w:t>0</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hint="eastAsia"/>
              </w:rPr>
              <w:t>0</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hint="eastAsia"/>
              </w:rPr>
              <w:t>0</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hint="eastAsia"/>
              </w:rPr>
              <w:t>0</w:t>
            </w:r>
          </w:p>
        </w:tc>
        <w:tc>
          <w:tcPr>
            <w:tcW w:w="688" w:type="dxa"/>
            <w:tcBorders>
              <w:top w:val="outset" w:color="auto" w:sz="6" w:space="0"/>
              <w:left w:val="nil"/>
              <w:bottom w:val="outset" w:color="auto" w:sz="6" w:space="0"/>
              <w:right w:val="outset" w:color="auto" w:sz="6" w:space="0"/>
            </w:tcBorders>
            <w:vAlign w:val="center"/>
          </w:tcPr>
          <w:p>
            <w:pPr>
              <w:widowControl/>
              <w:jc w:val="center"/>
            </w:pPr>
            <w:r>
              <w:rPr>
                <w:rFonts w:hint="eastAsia"/>
              </w:rPr>
              <w:t>0</w:t>
            </w:r>
          </w:p>
        </w:tc>
        <w:tc>
          <w:tcPr>
            <w:tcW w:w="689" w:type="dxa"/>
            <w:tcBorders>
              <w:top w:val="outset" w:color="auto" w:sz="6" w:space="0"/>
              <w:left w:val="nil"/>
              <w:bottom w:val="outset" w:color="auto" w:sz="6" w:space="0"/>
              <w:right w:val="outset" w:color="auto" w:sz="6" w:space="0"/>
            </w:tcBorders>
            <w:vAlign w:val="center"/>
          </w:tcPr>
          <w:p>
            <w:pPr>
              <w:widowControl/>
              <w:jc w:val="center"/>
            </w:pPr>
            <w:r>
              <w:rPr>
                <w:rFonts w:hint="eastAsia"/>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ascii="宋体"/>
                <w:sz w:val="24"/>
              </w:rPr>
              <w:t>1</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我局按照《政府信息公开条例》要求，积极开展政府信息公开各项工作，但因各类申请内容中，</w:t>
      </w:r>
      <w:r>
        <w:rPr>
          <w:rFonts w:hint="eastAsia" w:ascii="仿宋_GB2312" w:hAnsi="宋体" w:eastAsia="仿宋_GB2312" w:cs="宋体"/>
          <w:spacing w:val="8"/>
          <w:kern w:val="0"/>
          <w:sz w:val="32"/>
          <w:szCs w:val="32"/>
        </w:rPr>
        <w:t>呈现部分集中性特点，例如申请的内容集中在投诉举报案件、工商登记材料查询领域，</w:t>
      </w:r>
      <w:r>
        <w:rPr>
          <w:rFonts w:ascii="仿宋_GB2312" w:hAnsi="宋体" w:eastAsia="仿宋_GB2312" w:cs="宋体"/>
          <w:spacing w:val="8"/>
          <w:kern w:val="0"/>
          <w:sz w:val="32"/>
          <w:szCs w:val="32"/>
        </w:rPr>
        <w:t>多数将政府信息公开作为表达诉求、施加压力的途径</w:t>
      </w:r>
      <w:r>
        <w:rPr>
          <w:rFonts w:hint="eastAsia" w:ascii="仿宋_GB2312" w:hAnsi="宋体" w:eastAsia="仿宋_GB2312" w:cs="宋体"/>
          <w:spacing w:val="8"/>
          <w:kern w:val="0"/>
          <w:sz w:val="32"/>
          <w:szCs w:val="32"/>
        </w:rPr>
        <w:t>。针对上述问题，我局重点加强工作人员培训，要求办案人员在办理投诉举报案件过程中，严格把握办理流程，切实履行告知程序，并且在办理具体业务过程及时耐心的解惑答疑，解决群众的诉求，避免再通过申请政府信息公开的方式获取所需要的信息。</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2"/>
        <w:spacing w:line="560" w:lineRule="exact"/>
        <w:ind w:firstLine="672" w:firstLineChars="20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我单位发出收费通知的件数和总金额以及实际收取的总金额均为0。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C23C59-3195-412B-9F9C-C7A4E3D6D7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FAFD74-AB22-47E1-A14B-28FDFF7EFC23}"/>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3" w:fontKey="{B55523CD-84BF-411C-AC73-1063CFD3C79B}"/>
  </w:font>
  <w:font w:name="微软雅黑">
    <w:panose1 w:val="020B0503020204020204"/>
    <w:charset w:val="86"/>
    <w:family w:val="swiss"/>
    <w:pitch w:val="default"/>
    <w:sig w:usb0="80000287" w:usb1="2ACF3C50" w:usb2="00000016" w:usb3="00000000" w:csb0="0004001F" w:csb1="00000000"/>
    <w:embedRegular r:id="rId4" w:fontKey="{AA67A7D9-19A0-4AA8-A938-0CC491D8229E}"/>
  </w:font>
  <w:font w:name="仿宋_GB2312">
    <w:altName w:val="仿宋"/>
    <w:panose1 w:val="02010609030101010101"/>
    <w:charset w:val="86"/>
    <w:family w:val="modern"/>
    <w:pitch w:val="default"/>
    <w:sig w:usb0="00000000" w:usb1="00000000" w:usb2="00000010" w:usb3="00000000" w:csb0="00040000" w:csb1="00000000"/>
    <w:embedRegular r:id="rId5" w:fontKey="{A93F6BA5-6F07-4A7C-A88C-A4EB1EB44050}"/>
  </w:font>
  <w:font w:name="楷体">
    <w:panose1 w:val="02010609060101010101"/>
    <w:charset w:val="86"/>
    <w:family w:val="modern"/>
    <w:pitch w:val="default"/>
    <w:sig w:usb0="800002BF" w:usb1="38CF7CFA" w:usb2="00000016" w:usb3="00000000" w:csb0="00040001" w:csb1="00000000"/>
    <w:embedRegular r:id="rId6" w:fontKey="{ED48EED6-524E-4C35-A192-ED25FA931FFA}"/>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mODEzMjhjYzAyOGQ2M2M1OWQ1ODAyZTg4N2UwN2UifQ=="/>
  </w:docVars>
  <w:rsids>
    <w:rsidRoot w:val="009B4A20"/>
    <w:rsid w:val="000724CA"/>
    <w:rsid w:val="00075AB1"/>
    <w:rsid w:val="000F399A"/>
    <w:rsid w:val="001170C0"/>
    <w:rsid w:val="001A5D10"/>
    <w:rsid w:val="001C499A"/>
    <w:rsid w:val="001E3780"/>
    <w:rsid w:val="001F262D"/>
    <w:rsid w:val="00202C6B"/>
    <w:rsid w:val="00261577"/>
    <w:rsid w:val="00287F6A"/>
    <w:rsid w:val="002A71A4"/>
    <w:rsid w:val="002E6D86"/>
    <w:rsid w:val="0030660B"/>
    <w:rsid w:val="00351FC6"/>
    <w:rsid w:val="00395740"/>
    <w:rsid w:val="003B2A1A"/>
    <w:rsid w:val="003F51D5"/>
    <w:rsid w:val="004641C2"/>
    <w:rsid w:val="005C03AD"/>
    <w:rsid w:val="005D7663"/>
    <w:rsid w:val="005E0F8E"/>
    <w:rsid w:val="00720971"/>
    <w:rsid w:val="0074231E"/>
    <w:rsid w:val="00774628"/>
    <w:rsid w:val="00823270"/>
    <w:rsid w:val="00836ECF"/>
    <w:rsid w:val="008A4F92"/>
    <w:rsid w:val="008B6A2C"/>
    <w:rsid w:val="009B4A20"/>
    <w:rsid w:val="009E28A9"/>
    <w:rsid w:val="009F502F"/>
    <w:rsid w:val="00A44A2B"/>
    <w:rsid w:val="00AA70C3"/>
    <w:rsid w:val="00AE3F78"/>
    <w:rsid w:val="00B707A0"/>
    <w:rsid w:val="00B70D6F"/>
    <w:rsid w:val="00CA5C3A"/>
    <w:rsid w:val="00CC311D"/>
    <w:rsid w:val="00CF6586"/>
    <w:rsid w:val="00DC6017"/>
    <w:rsid w:val="00E61228"/>
    <w:rsid w:val="00E80EA0"/>
    <w:rsid w:val="00EF1681"/>
    <w:rsid w:val="00F31A3B"/>
    <w:rsid w:val="00F52B79"/>
    <w:rsid w:val="00F672F0"/>
    <w:rsid w:val="00FB0854"/>
    <w:rsid w:val="7D9D6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jc w:val="left"/>
    </w:pPr>
    <w:rPr>
      <w:kern w:val="0"/>
      <w:sz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uiPriority w:val="0"/>
    <w:rPr>
      <w:rFonts w:ascii="宋体" w:hAnsi="Courier New" w:eastAsia="宋体" w:cs="Times New Roman"/>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2145</Words>
  <Characters>2220</Characters>
  <Lines>18</Lines>
  <Paragraphs>5</Paragraphs>
  <TotalTime>203</TotalTime>
  <ScaleCrop>false</ScaleCrop>
  <LinksUpToDate>false</LinksUpToDate>
  <CharactersWithSpaces>2232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2023-01-04T03:09:00Z</dcterms:created>
  <dc:creator>市场监督管理局公文</dc:creator>
  <cp:lastModifiedBy>米露露</cp:lastModifiedBy>
  <dcterms:modified xsi:type="dcterms:W3CDTF">2023-03-15T02:47:10Z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CBC9E3DD949346A8B74061E4EDFCF782</vt:lpwstr>
  </property>
</Properties>
</file>