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北京市大兴区退役军人事务局</w:t>
      </w:r>
    </w:p>
    <w:p>
      <w:pPr>
        <w:spacing w:line="560" w:lineRule="exact"/>
        <w:jc w:val="center"/>
        <w:rPr>
          <w:sz w:val="44"/>
          <w:szCs w:val="44"/>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2</w:t>
      </w:r>
      <w:r>
        <w:rPr>
          <w:rFonts w:hint="eastAsia" w:ascii="方正小标宋简体" w:hAnsi="方正小标宋简体" w:eastAsia="方正小标宋简体" w:cs="方正小标宋简体"/>
          <w:sz w:val="44"/>
          <w:szCs w:val="44"/>
          <w:highlight w:val="none"/>
        </w:rPr>
        <w:t>年政府信</w:t>
      </w:r>
      <w:r>
        <w:rPr>
          <w:rFonts w:hint="eastAsia" w:ascii="方正小标宋简体" w:hAnsi="方正小标宋简体" w:eastAsia="方正小标宋简体" w:cs="方正小标宋简体"/>
          <w:spacing w:val="-11"/>
          <w:sz w:val="44"/>
          <w:szCs w:val="44"/>
          <w:highlight w:val="none"/>
        </w:rPr>
        <w:t>息公开</w:t>
      </w:r>
      <w:r>
        <w:rPr>
          <w:rFonts w:hint="eastAsia" w:ascii="方正小标宋简体" w:hAnsi="方正小标宋简体" w:eastAsia="方正小标宋简体" w:cs="方正小标宋简体"/>
          <w:sz w:val="44"/>
          <w:szCs w:val="44"/>
          <w:highlight w:val="none"/>
        </w:rPr>
        <w:t>工作年度报告</w:t>
      </w:r>
      <w:r>
        <w:rPr>
          <w:rFonts w:hint="eastAsia" w:ascii="微软雅黑" w:hAnsi="微软雅黑" w:eastAsia="微软雅黑" w:cs="宋体"/>
          <w:color w:val="404040"/>
          <w:kern w:val="0"/>
          <w:sz w:val="24"/>
          <w:highlight w:val="none"/>
        </w:rPr>
        <w:t>　</w:t>
      </w:r>
      <w:r>
        <w:rPr>
          <w:rFonts w:hint="eastAsia" w:ascii="微软雅黑" w:hAnsi="微软雅黑" w:eastAsia="微软雅黑" w:cs="宋体"/>
          <w:color w:val="404040"/>
          <w:kern w:val="0"/>
          <w:sz w:val="32"/>
          <w:szCs w:val="32"/>
          <w:highlight w:val="none"/>
        </w:rPr>
        <w:t xml:space="preserve"> </w:t>
      </w:r>
      <w:r>
        <w:rPr>
          <w:rFonts w:ascii="微软雅黑" w:hAnsi="微软雅黑" w:eastAsia="微软雅黑" w:cs="宋体"/>
          <w:color w:val="404040"/>
          <w:kern w:val="0"/>
          <w:sz w:val="32"/>
          <w:szCs w:val="32"/>
          <w:highlight w:val="none"/>
        </w:rPr>
        <w:t xml:space="preserve"> </w:t>
      </w:r>
    </w:p>
    <w:p>
      <w:pPr>
        <w:widowControl/>
        <w:spacing w:line="560" w:lineRule="exact"/>
        <w:ind w:firstLine="672" w:firstLineChars="200"/>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楷体_GB2312" w:hAnsi="宋体" w:eastAsia="楷体_GB2312" w:cs="宋体"/>
          <w:b w:val="0"/>
          <w:bCs/>
          <w:kern w:val="0"/>
          <w:sz w:val="32"/>
          <w:szCs w:val="32"/>
          <w:lang w:val="en-US" w:eastAsia="zh-CN"/>
        </w:rPr>
        <w:t>（一）</w:t>
      </w:r>
      <w:r>
        <w:rPr>
          <w:rFonts w:hint="eastAsia" w:ascii="楷体_GB2312" w:hAnsi="宋体" w:eastAsia="楷体_GB2312" w:cs="宋体"/>
          <w:b w:val="0"/>
          <w:bCs/>
          <w:kern w:val="0"/>
          <w:sz w:val="32"/>
          <w:szCs w:val="32"/>
          <w:lang w:eastAsia="zh-CN"/>
        </w:rPr>
        <w:t>组织领导情况。</w:t>
      </w:r>
      <w:r>
        <w:rPr>
          <w:rFonts w:hint="eastAsia" w:ascii="仿宋_GB2312" w:eastAsia="仿宋_GB2312" w:hAnsiTheme="minorHAnsi" w:cstheme="minorBidi"/>
          <w:kern w:val="2"/>
          <w:sz w:val="32"/>
          <w:szCs w:val="32"/>
          <w:lang w:val="en-US" w:eastAsia="zh-CN" w:bidi="ar-SA"/>
        </w:rPr>
        <w:t>根据《中华人民共和国政府</w:t>
      </w:r>
      <w:bookmarkStart w:id="0" w:name="_GoBack"/>
      <w:bookmarkEnd w:id="0"/>
      <w:r>
        <w:rPr>
          <w:rFonts w:hint="eastAsia" w:ascii="仿宋_GB2312" w:eastAsia="仿宋_GB2312" w:hAnsiTheme="minorHAnsi" w:cstheme="minorBidi"/>
          <w:kern w:val="2"/>
          <w:sz w:val="32"/>
          <w:szCs w:val="32"/>
          <w:lang w:val="en-US" w:eastAsia="zh-CN" w:bidi="ar-SA"/>
        </w:rPr>
        <w:t>信息公开条例》要求，严格履行政府信息公开各项规章制度，为深入开展好各项政务公开工作，成立政务公开工作领导小组，由党组书记、局长担任组长，党组成员任副组长，各科室负责人任成员。领导小组下设办公室，负责开展组织协调、监督落实等日常工作，并责成专人具体负责。</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_GB2312" w:hAnsi="宋体" w:eastAsia="仿宋_GB2312" w:cs="宋体"/>
          <w:kern w:val="0"/>
          <w:sz w:val="32"/>
          <w:szCs w:val="32"/>
          <w:lang w:eastAsia="zh-CN"/>
        </w:rPr>
      </w:pPr>
      <w:r>
        <w:rPr>
          <w:rFonts w:hint="eastAsia" w:ascii="楷体_GB2312" w:hAnsi="宋体" w:eastAsia="楷体_GB2312" w:cs="宋体"/>
          <w:b w:val="0"/>
          <w:bCs/>
          <w:kern w:val="0"/>
          <w:sz w:val="32"/>
          <w:szCs w:val="32"/>
          <w:lang w:eastAsia="zh-CN"/>
        </w:rPr>
        <w:t>（二）</w:t>
      </w:r>
      <w:r>
        <w:rPr>
          <w:rFonts w:hint="eastAsia" w:ascii="楷体_GB2312" w:hAnsi="宋体" w:eastAsia="楷体_GB2312" w:cs="宋体"/>
          <w:b w:val="0"/>
          <w:bCs/>
          <w:kern w:val="0"/>
          <w:sz w:val="32"/>
          <w:szCs w:val="32"/>
        </w:rPr>
        <w:t>主动公开情况</w:t>
      </w:r>
      <w:r>
        <w:rPr>
          <w:rFonts w:hint="eastAsia" w:ascii="楷体_GB2312" w:hAnsi="宋体" w:eastAsia="楷体_GB2312" w:cs="宋体"/>
          <w:b w:val="0"/>
          <w:bCs/>
          <w:kern w:val="0"/>
          <w:sz w:val="32"/>
          <w:szCs w:val="32"/>
          <w:lang w:eastAsia="zh-CN"/>
        </w:rPr>
        <w:t>。</w:t>
      </w:r>
      <w:r>
        <w:rPr>
          <w:rFonts w:hint="eastAsia" w:ascii="仿宋_GB2312" w:eastAsia="仿宋_GB2312" w:hAnsiTheme="minorEastAsia"/>
          <w:sz w:val="32"/>
          <w:szCs w:val="32"/>
        </w:rPr>
        <w:t>本报告中所列数据的统计期限自</w:t>
      </w:r>
      <w:r>
        <w:rPr>
          <w:rFonts w:hint="eastAsia" w:ascii="仿宋_GB2312" w:eastAsia="仿宋_GB2312" w:hAnsiTheme="minorEastAsia"/>
          <w:sz w:val="32"/>
          <w:szCs w:val="32"/>
          <w:lang w:val="en-US" w:eastAsia="zh-CN"/>
        </w:rPr>
        <w:t>2022</w:t>
      </w:r>
      <w:r>
        <w:rPr>
          <w:rFonts w:hint="eastAsia" w:ascii="仿宋_GB2312" w:eastAsia="仿宋_GB2312" w:hAnsiTheme="minorEastAsia"/>
          <w:sz w:val="32"/>
          <w:szCs w:val="32"/>
        </w:rPr>
        <w:t>年1月1日起至</w:t>
      </w:r>
      <w:r>
        <w:rPr>
          <w:rFonts w:hint="eastAsia" w:ascii="仿宋_GB2312" w:eastAsia="仿宋_GB2312" w:hAnsiTheme="minorEastAsia"/>
          <w:sz w:val="32"/>
          <w:szCs w:val="32"/>
          <w:lang w:val="en-US" w:eastAsia="zh-CN"/>
        </w:rPr>
        <w:t>2022</w:t>
      </w:r>
      <w:r>
        <w:rPr>
          <w:rFonts w:hint="eastAsia" w:ascii="仿宋_GB2312" w:eastAsia="仿宋_GB2312" w:hAnsiTheme="minorEastAsia"/>
          <w:sz w:val="32"/>
          <w:szCs w:val="32"/>
        </w:rPr>
        <w:t>年12月31日止。</w:t>
      </w:r>
      <w:r>
        <w:rPr>
          <w:rFonts w:hint="eastAsia" w:ascii="仿宋_GB2312" w:hAnsi="宋体" w:eastAsia="仿宋_GB2312" w:cs="宋体"/>
          <w:kern w:val="0"/>
          <w:sz w:val="32"/>
          <w:szCs w:val="32"/>
        </w:rPr>
        <w:t>20</w:t>
      </w:r>
      <w:r>
        <w:rPr>
          <w:rFonts w:hint="eastAsia" w:ascii="仿宋_GB2312" w:hAnsi="宋体" w:eastAsia="仿宋_GB2312" w:cs="宋体"/>
          <w:kern w:val="0"/>
          <w:sz w:val="32"/>
          <w:szCs w:val="32"/>
          <w:lang w:val="en-US" w:eastAsia="zh-CN"/>
        </w:rPr>
        <w:t>22</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eastAsia="zh-CN"/>
        </w:rPr>
        <w:t>我</w:t>
      </w:r>
      <w:r>
        <w:rPr>
          <w:rFonts w:hint="eastAsia" w:ascii="仿宋_GB2312" w:hAnsi="宋体" w:eastAsia="仿宋_GB2312" w:cs="宋体"/>
          <w:kern w:val="0"/>
          <w:sz w:val="32"/>
          <w:szCs w:val="32"/>
        </w:rPr>
        <w:t>局政府信息公开工作运行正常，</w:t>
      </w:r>
      <w:r>
        <w:rPr>
          <w:rFonts w:hint="eastAsia" w:ascii="仿宋_GB2312" w:eastAsia="仿宋_GB2312" w:hAnsiTheme="minorEastAsia"/>
          <w:sz w:val="32"/>
          <w:szCs w:val="32"/>
        </w:rPr>
        <w:t>通过政府网站</w:t>
      </w:r>
      <w:r>
        <w:rPr>
          <w:rFonts w:hint="eastAsia" w:ascii="仿宋_GB2312" w:eastAsia="仿宋_GB2312" w:hAnsiTheme="minorEastAsia"/>
          <w:sz w:val="32"/>
          <w:szCs w:val="32"/>
          <w:lang w:eastAsia="zh-CN"/>
        </w:rPr>
        <w:t>等媒体</w:t>
      </w:r>
      <w:r>
        <w:rPr>
          <w:rFonts w:hint="eastAsia" w:ascii="仿宋_GB2312" w:hAnsi="宋体" w:eastAsia="仿宋_GB2312" w:cs="宋体"/>
          <w:kern w:val="0"/>
          <w:sz w:val="32"/>
          <w:szCs w:val="32"/>
          <w:lang w:eastAsia="zh-CN"/>
        </w:rPr>
        <w:t>主动公开</w:t>
      </w:r>
      <w:r>
        <w:rPr>
          <w:rFonts w:hint="eastAsia" w:ascii="仿宋_GB2312" w:hAnsi="宋体" w:eastAsia="仿宋_GB2312" w:cs="宋体"/>
          <w:kern w:val="0"/>
          <w:sz w:val="32"/>
          <w:szCs w:val="32"/>
        </w:rPr>
        <w:t>局领导</w:t>
      </w:r>
      <w:r>
        <w:rPr>
          <w:rFonts w:hint="eastAsia" w:ascii="仿宋_GB2312" w:hAnsi="宋体" w:eastAsia="仿宋_GB2312" w:cs="宋体"/>
          <w:kern w:val="0"/>
          <w:sz w:val="32"/>
          <w:szCs w:val="32"/>
          <w:lang w:eastAsia="zh-CN"/>
        </w:rPr>
        <w:t>简介、内设机构、法定</w:t>
      </w:r>
      <w:r>
        <w:rPr>
          <w:rFonts w:hint="eastAsia" w:ascii="仿宋_GB2312" w:hAnsi="宋体" w:eastAsia="仿宋_GB2312" w:cs="宋体"/>
          <w:kern w:val="0"/>
          <w:sz w:val="32"/>
          <w:szCs w:val="32"/>
        </w:rPr>
        <w:t>职责</w:t>
      </w:r>
      <w:r>
        <w:rPr>
          <w:rFonts w:hint="eastAsia" w:ascii="仿宋_GB2312" w:hAnsi="宋体" w:eastAsia="仿宋_GB2312" w:cs="宋体"/>
          <w:kern w:val="0"/>
          <w:sz w:val="32"/>
          <w:szCs w:val="32"/>
          <w:lang w:eastAsia="zh-CN"/>
        </w:rPr>
        <w:t>和预决算、政府信息公开指南、工作信息等重点领域信息。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hAnsiTheme="minorEastAsia"/>
          <w:sz w:val="32"/>
          <w:szCs w:val="32"/>
          <w:lang w:eastAsia="zh-CN"/>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依申请公开情况</w:t>
      </w:r>
      <w:r>
        <w:rPr>
          <w:rFonts w:hint="eastAsia" w:ascii="楷体_GB2312" w:hAnsi="楷体_GB2312" w:eastAsia="楷体_GB2312" w:cs="楷体_GB2312"/>
          <w:sz w:val="32"/>
          <w:szCs w:val="32"/>
          <w:lang w:eastAsia="zh-CN"/>
        </w:rPr>
        <w:t>。</w:t>
      </w:r>
      <w:r>
        <w:rPr>
          <w:rFonts w:hint="eastAsia" w:ascii="仿宋_GB2312" w:eastAsia="仿宋_GB2312" w:hAnsiTheme="minorEastAsia"/>
          <w:sz w:val="32"/>
          <w:szCs w:val="32"/>
          <w:lang w:val="en-US" w:eastAsia="zh-CN"/>
        </w:rPr>
        <w:t>2022</w:t>
      </w:r>
      <w:r>
        <w:rPr>
          <w:rFonts w:hint="eastAsia" w:ascii="仿宋_GB2312" w:eastAsia="仿宋_GB2312" w:hAnsiTheme="minorEastAsia"/>
          <w:sz w:val="32"/>
          <w:szCs w:val="32"/>
        </w:rPr>
        <w:t>年度本单位共收到各类政府信息公开申请</w:t>
      </w:r>
      <w:r>
        <w:rPr>
          <w:rFonts w:hint="eastAsia" w:ascii="仿宋_GB2312" w:eastAsia="仿宋_GB2312" w:hAnsiTheme="minorEastAsia"/>
          <w:sz w:val="32"/>
          <w:szCs w:val="32"/>
          <w:lang w:val="en-US" w:eastAsia="zh-CN"/>
        </w:rPr>
        <w:t>1</w:t>
      </w:r>
      <w:r>
        <w:rPr>
          <w:rFonts w:hint="eastAsia" w:ascii="仿宋_GB2312" w:eastAsia="仿宋_GB2312" w:hAnsiTheme="minorEastAsia"/>
          <w:sz w:val="32"/>
          <w:szCs w:val="32"/>
        </w:rPr>
        <w:t>件</w:t>
      </w:r>
      <w:r>
        <w:rPr>
          <w:rFonts w:hint="eastAsia" w:ascii="仿宋_GB2312" w:eastAsia="仿宋_GB2312" w:hAnsiTheme="minorEastAsia"/>
          <w:sz w:val="32"/>
          <w:szCs w:val="32"/>
          <w:lang w:eastAsia="zh-CN"/>
        </w:rPr>
        <w:t>，并严格按照依申请公开办理流程，受理依申请公开件，因申请</w:t>
      </w:r>
      <w:r>
        <w:rPr>
          <w:rFonts w:hint="eastAsia" w:ascii="仿宋" w:hAnsi="仿宋" w:eastAsia="仿宋" w:cs="仿宋"/>
          <w:sz w:val="32"/>
          <w:szCs w:val="32"/>
          <w:lang w:eastAsia="zh-CN"/>
        </w:rPr>
        <w:t>内容</w:t>
      </w:r>
      <w:r>
        <w:rPr>
          <w:rFonts w:hint="eastAsia" w:ascii="仿宋" w:hAnsi="仿宋" w:eastAsia="仿宋" w:cs="仿宋"/>
          <w:sz w:val="32"/>
          <w:szCs w:val="32"/>
          <w:lang w:val="en-US" w:eastAsia="zh-CN"/>
        </w:rPr>
        <w:t>涉及国家秘</w:t>
      </w:r>
      <w:r>
        <w:rPr>
          <w:rFonts w:hint="eastAsia" w:ascii="仿宋" w:hAnsi="仿宋" w:eastAsia="仿宋" w:cs="仿宋"/>
          <w:sz w:val="32"/>
          <w:szCs w:val="32"/>
          <w:lang w:eastAsia="zh-CN"/>
        </w:rPr>
        <w:t>密，不予公开</w:t>
      </w:r>
      <w:r>
        <w:rPr>
          <w:rFonts w:hint="eastAsia" w:ascii="仿宋_GB2312" w:eastAsia="仿宋_GB2312" w:hAnsiTheme="minor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pacing w:val="0"/>
          <w:w w:val="100"/>
          <w:position w:val="0"/>
          <w:sz w:val="32"/>
          <w:szCs w:val="32"/>
          <w:u w:val="none"/>
          <w:shd w:val="clear" w:color="auto" w:fill="auto"/>
          <w:lang w:val="en-US" w:eastAsia="zh-CN" w:bidi="zh-TW"/>
        </w:rPr>
      </w:pP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政府信息资源的规范化、标准化管理情况</w:t>
      </w:r>
      <w:r>
        <w:rPr>
          <w:rFonts w:hint="eastAsia" w:ascii="楷体_GB2312" w:hAnsi="楷体_GB2312" w:eastAsia="楷体_GB2312" w:cs="楷体_GB2312"/>
          <w:sz w:val="32"/>
          <w:szCs w:val="32"/>
          <w:lang w:eastAsia="zh-CN"/>
        </w:rPr>
        <w:t>。</w:t>
      </w:r>
      <w:r>
        <w:rPr>
          <w:rFonts w:hint="eastAsia" w:ascii="仿宋_GB2312" w:eastAsia="仿宋_GB2312" w:hAnsiTheme="minorEastAsia"/>
          <w:sz w:val="32"/>
          <w:szCs w:val="32"/>
          <w:lang w:val="en-US" w:eastAsia="zh-CN"/>
        </w:rPr>
        <w:t>根据北京市及我区工作要求，认真开展政务公开工作清单梳理工作，结合实际工作开展修改、完善本单位政务公开全清单。做好区级事项标准化工作，进行</w:t>
      </w:r>
      <w:r>
        <w:rPr>
          <w:rFonts w:hint="eastAsia" w:ascii="仿宋_GB2312" w:hAnsi="仿宋_GB2312" w:eastAsia="仿宋_GB2312" w:cs="仿宋_GB2312"/>
          <w:color w:val="auto"/>
          <w:spacing w:val="0"/>
          <w:w w:val="100"/>
          <w:position w:val="0"/>
          <w:sz w:val="32"/>
          <w:szCs w:val="32"/>
          <w:u w:val="none"/>
          <w:shd w:val="clear" w:color="auto" w:fill="auto"/>
          <w:lang w:val="en-US" w:eastAsia="zh-CN" w:bidi="zh-TW"/>
        </w:rPr>
        <w:t>逐一</w:t>
      </w:r>
      <w:r>
        <w:rPr>
          <w:rFonts w:hint="eastAsia" w:ascii="仿宋_GB2312" w:hAnsi="仿宋_GB2312" w:eastAsia="仿宋_GB2312" w:cs="仿宋_GB2312"/>
          <w:color w:val="auto"/>
          <w:spacing w:val="0"/>
          <w:w w:val="100"/>
          <w:position w:val="0"/>
          <w:sz w:val="32"/>
          <w:szCs w:val="32"/>
          <w:u w:val="none"/>
          <w:shd w:val="clear" w:color="auto" w:fill="auto"/>
          <w:lang w:val="zh-TW" w:eastAsia="zh-CN" w:bidi="zh-TW"/>
        </w:rPr>
        <w:t>梳理，</w:t>
      </w:r>
      <w:r>
        <w:rPr>
          <w:rFonts w:hint="eastAsia" w:ascii="仿宋_GB2312" w:hAnsi="仿宋_GB2312" w:eastAsia="仿宋_GB2312" w:cs="仿宋_GB2312"/>
          <w:color w:val="auto"/>
          <w:spacing w:val="0"/>
          <w:w w:val="100"/>
          <w:position w:val="0"/>
          <w:sz w:val="32"/>
          <w:szCs w:val="32"/>
          <w:u w:val="none"/>
          <w:shd w:val="clear" w:color="auto" w:fill="auto"/>
          <w:lang w:val="en-US" w:eastAsia="zh-CN" w:bidi="zh-TW"/>
        </w:rPr>
        <w:t>对</w:t>
      </w:r>
      <w:r>
        <w:rPr>
          <w:rFonts w:hint="eastAsia" w:ascii="仿宋_GB2312" w:hAnsi="仿宋_GB2312" w:eastAsia="仿宋_GB2312" w:cs="仿宋_GB2312"/>
          <w:color w:val="auto"/>
          <w:spacing w:val="0"/>
          <w:w w:val="100"/>
          <w:position w:val="0"/>
          <w:sz w:val="32"/>
          <w:szCs w:val="32"/>
          <w:u w:val="none"/>
          <w:shd w:val="clear" w:color="auto" w:fill="auto"/>
          <w:lang w:val="zh-TW" w:eastAsia="zh-TW" w:bidi="zh-TW"/>
        </w:rPr>
        <w:t>事项要素</w:t>
      </w:r>
      <w:r>
        <w:rPr>
          <w:rFonts w:hint="eastAsia" w:ascii="仿宋_GB2312" w:hAnsi="仿宋_GB2312" w:eastAsia="仿宋_GB2312" w:cs="仿宋_GB2312"/>
          <w:color w:val="auto"/>
          <w:spacing w:val="0"/>
          <w:w w:val="100"/>
          <w:position w:val="0"/>
          <w:sz w:val="32"/>
          <w:szCs w:val="32"/>
          <w:u w:val="none"/>
          <w:shd w:val="clear" w:color="auto" w:fill="auto"/>
          <w:lang w:val="en-US" w:eastAsia="zh-CN" w:bidi="zh-TW"/>
        </w:rPr>
        <w:t>的</w:t>
      </w:r>
      <w:r>
        <w:rPr>
          <w:rFonts w:hint="eastAsia" w:ascii="仿宋_GB2312" w:hAnsi="仿宋_GB2312" w:eastAsia="仿宋_GB2312" w:cs="仿宋_GB2312"/>
          <w:color w:val="auto"/>
          <w:spacing w:val="0"/>
          <w:w w:val="100"/>
          <w:position w:val="0"/>
          <w:sz w:val="32"/>
          <w:szCs w:val="32"/>
          <w:u w:val="none"/>
          <w:shd w:val="clear" w:color="auto" w:fill="auto"/>
          <w:lang w:val="zh-TW" w:eastAsia="zh-TW" w:bidi="zh-TW"/>
        </w:rPr>
        <w:t>规范性、完备性</w:t>
      </w:r>
      <w:r>
        <w:rPr>
          <w:rFonts w:hint="eastAsia" w:ascii="仿宋_GB2312" w:hAnsi="仿宋_GB2312" w:eastAsia="仿宋_GB2312" w:cs="仿宋_GB2312"/>
          <w:color w:val="auto"/>
          <w:spacing w:val="0"/>
          <w:w w:val="100"/>
          <w:position w:val="0"/>
          <w:sz w:val="32"/>
          <w:szCs w:val="32"/>
          <w:u w:val="none"/>
          <w:shd w:val="clear" w:color="auto" w:fill="auto"/>
          <w:lang w:val="zh-TW" w:eastAsia="zh-CN" w:bidi="zh-TW"/>
        </w:rPr>
        <w:t>、</w:t>
      </w:r>
      <w:r>
        <w:rPr>
          <w:rFonts w:hint="eastAsia" w:ascii="仿宋_GB2312" w:hAnsi="仿宋_GB2312" w:eastAsia="仿宋_GB2312" w:cs="仿宋_GB2312"/>
          <w:color w:val="auto"/>
          <w:spacing w:val="0"/>
          <w:w w:val="100"/>
          <w:position w:val="0"/>
          <w:sz w:val="32"/>
          <w:szCs w:val="32"/>
          <w:u w:val="none"/>
          <w:shd w:val="clear" w:color="auto" w:fill="auto"/>
          <w:lang w:val="en-US" w:eastAsia="zh-CN" w:bidi="zh-TW"/>
        </w:rPr>
        <w:t>逻辑性</w:t>
      </w:r>
      <w:r>
        <w:rPr>
          <w:rFonts w:hint="eastAsia" w:ascii="仿宋_GB2312" w:hAnsi="仿宋_GB2312" w:eastAsia="仿宋_GB2312" w:cs="仿宋_GB2312"/>
          <w:color w:val="auto"/>
          <w:spacing w:val="0"/>
          <w:w w:val="100"/>
          <w:position w:val="0"/>
          <w:sz w:val="32"/>
          <w:szCs w:val="32"/>
          <w:u w:val="none"/>
          <w:shd w:val="clear" w:color="auto" w:fill="auto"/>
          <w:lang w:val="zh-TW" w:eastAsia="zh-TW" w:bidi="zh-TW"/>
        </w:rPr>
        <w:t>等方面进行全面自查</w:t>
      </w:r>
      <w:r>
        <w:rPr>
          <w:rFonts w:hint="eastAsia" w:ascii="仿宋_GB2312" w:hAnsi="仿宋_GB2312" w:eastAsia="仿宋_GB2312" w:cs="仿宋_GB2312"/>
          <w:color w:val="auto"/>
          <w:spacing w:val="0"/>
          <w:w w:val="100"/>
          <w:position w:val="0"/>
          <w:sz w:val="32"/>
          <w:szCs w:val="32"/>
          <w:u w:val="none"/>
          <w:shd w:val="clear" w:color="auto" w:fill="auto"/>
          <w:lang w:val="en-US" w:eastAsia="zh-CN" w:bidi="zh-TW"/>
        </w:rPr>
        <w:t>和修改。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hAnsiTheme="minorEastAsia"/>
          <w:sz w:val="32"/>
          <w:szCs w:val="32"/>
          <w:lang w:val="en-US" w:eastAsia="zh-CN"/>
        </w:rPr>
      </w:pPr>
      <w:r>
        <w:rPr>
          <w:rFonts w:hint="eastAsia" w:ascii="楷体_GB2312" w:hAnsi="楷体_GB2312" w:eastAsia="楷体_GB2312" w:cs="楷体_GB2312"/>
          <w:sz w:val="32"/>
          <w:szCs w:val="32"/>
          <w:lang w:val="en-US" w:eastAsia="zh-CN"/>
        </w:rPr>
        <w:t>（五）政府信息公开平台建设情况。2022年我局</w:t>
      </w:r>
      <w:r>
        <w:rPr>
          <w:rFonts w:hint="eastAsia" w:ascii="仿宋_GB2312" w:eastAsia="仿宋_GB2312" w:hAnsiTheme="minorEastAsia"/>
          <w:sz w:val="32"/>
          <w:szCs w:val="32"/>
          <w:lang w:val="en-US" w:eastAsia="zh-CN"/>
        </w:rPr>
        <w:t>政务新媒体运营得到不断优化</w:t>
      </w:r>
      <w:r>
        <w:rPr>
          <w:rFonts w:hint="eastAsia" w:ascii="仿宋_GB2312" w:eastAsia="仿宋_GB2312" w:hAnsiTheme="minorEastAsia"/>
          <w:sz w:val="32"/>
          <w:szCs w:val="32"/>
          <w:highlight w:val="none"/>
          <w:lang w:val="en-US" w:eastAsia="zh-CN"/>
        </w:rPr>
        <w:t>，由专人负责政务新媒体运维管理等工作，本年度共发布信息74条，移动端使用次数70480次，能够确保每周2条信息更新，月均浏览次数达5873次，</w:t>
      </w:r>
      <w:r>
        <w:rPr>
          <w:rFonts w:hint="eastAsia" w:ascii="仿宋_GB2312" w:eastAsia="仿宋_GB2312" w:hAnsiTheme="minorEastAsia"/>
          <w:sz w:val="32"/>
          <w:szCs w:val="32"/>
          <w:lang w:val="en-US" w:eastAsia="zh-CN"/>
        </w:rPr>
        <w:t>并按时报送政务新媒体信息更新报备表。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宋体" w:eastAsia="仿宋_GB2312" w:cs="宋体"/>
          <w:color w:val="auto"/>
          <w:spacing w:val="8"/>
          <w:kern w:val="0"/>
          <w:sz w:val="32"/>
          <w:szCs w:val="32"/>
        </w:rPr>
      </w:pPr>
      <w:r>
        <w:rPr>
          <w:rFonts w:hint="eastAsia" w:ascii="楷体_GB2312" w:hAnsi="楷体_GB2312" w:eastAsia="楷体_GB2312" w:cs="楷体_GB2312"/>
          <w:color w:val="auto"/>
          <w:sz w:val="32"/>
          <w:szCs w:val="32"/>
          <w:lang w:eastAsia="zh-CN"/>
        </w:rPr>
        <w:t>（六）教育培训情况。</w:t>
      </w:r>
      <w:r>
        <w:rPr>
          <w:rFonts w:hint="eastAsia" w:ascii="仿宋_GB2312" w:eastAsia="仿宋_GB2312" w:hAnsiTheme="minorEastAsia"/>
          <w:color w:val="auto"/>
          <w:sz w:val="32"/>
          <w:szCs w:val="32"/>
          <w:lang w:val="en-US" w:eastAsia="zh-CN"/>
        </w:rPr>
        <w:t>积极组织本单位工作人员学习政务公开相</w:t>
      </w:r>
      <w:r>
        <w:rPr>
          <w:rFonts w:hint="eastAsia" w:ascii="仿宋_GB2312" w:hAnsi="仿宋_GB2312" w:eastAsia="仿宋_GB2312" w:cs="仿宋_GB2312"/>
          <w:color w:val="auto"/>
          <w:sz w:val="32"/>
          <w:szCs w:val="32"/>
          <w:lang w:val="en-US" w:eastAsia="zh-CN"/>
        </w:rPr>
        <w:t>关政策文件，</w:t>
      </w:r>
      <w:r>
        <w:rPr>
          <w:rFonts w:hint="eastAsia" w:ascii="仿宋_GB2312" w:eastAsia="仿宋_GB2312" w:hAnsiTheme="minorEastAsia"/>
          <w:color w:val="auto"/>
          <w:sz w:val="32"/>
          <w:szCs w:val="32"/>
          <w:lang w:eastAsia="zh-CN"/>
        </w:rPr>
        <w:t>如</w:t>
      </w:r>
      <w:r>
        <w:rPr>
          <w:rFonts w:hint="eastAsia" w:ascii="仿宋_GB2312" w:eastAsia="仿宋_GB2312" w:hAnsiTheme="minorEastAsia"/>
          <w:color w:val="auto"/>
          <w:sz w:val="32"/>
          <w:szCs w:val="32"/>
          <w:lang w:val="en-US" w:eastAsia="zh-CN"/>
        </w:rPr>
        <w:t>开展《条例》等专题培训，大力提高工作人员专业</w:t>
      </w:r>
      <w:r>
        <w:rPr>
          <w:rFonts w:hint="eastAsia" w:ascii="仿宋_GB2312" w:hAnsi="宋体" w:eastAsia="仿宋_GB2312" w:cs="宋体"/>
          <w:color w:val="auto"/>
          <w:kern w:val="0"/>
          <w:sz w:val="32"/>
          <w:szCs w:val="32"/>
          <w:lang w:val="en-US" w:eastAsia="zh-CN"/>
        </w:rPr>
        <w:t>素质和业务能力，</w:t>
      </w:r>
      <w:r>
        <w:rPr>
          <w:rFonts w:hint="eastAsia" w:ascii="仿宋_GB2312" w:eastAsia="仿宋_GB2312" w:hAnsiTheme="minorEastAsia"/>
          <w:color w:val="auto"/>
          <w:sz w:val="32"/>
          <w:szCs w:val="32"/>
          <w:lang w:val="en-US" w:eastAsia="zh-CN"/>
        </w:rPr>
        <w:t>并积极参加大兴区政务公开各项工作交流培训活动。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（七）监督保障情况。</w:t>
      </w:r>
      <w:r>
        <w:rPr>
          <w:rFonts w:hint="eastAsia" w:ascii="仿宋_GB2312" w:eastAsia="仿宋_GB2312" w:hAnsiTheme="minorEastAsia"/>
          <w:color w:val="auto"/>
          <w:sz w:val="32"/>
          <w:szCs w:val="32"/>
          <w:lang w:val="en-US" w:eastAsia="zh-CN"/>
        </w:rPr>
        <w:t>定期接受政务公开第三方开展的主动公开、依申请公开、机制平台、过程管控等方面内容的测评，持续规范工作流程，强化内部监督管理力度，确保我局政府信息公开工作规范化、制度化。</w:t>
      </w:r>
    </w:p>
    <w:p>
      <w:pPr>
        <w:pStyle w:val="4"/>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主动公开政府信息情况</w:t>
      </w:r>
    </w:p>
    <w:p>
      <w:pPr>
        <w:pStyle w:val="4"/>
        <w:rPr>
          <w:rFonts w:hint="eastAsia"/>
        </w:rPr>
      </w:pPr>
    </w:p>
    <w:p>
      <w:pPr>
        <w:pStyle w:val="4"/>
        <w:numPr>
          <w:ilvl w:val="0"/>
          <w:numId w:val="0"/>
        </w:numPr>
        <w:rPr>
          <w:rFonts w:hint="eastAsia"/>
        </w:rPr>
      </w:pPr>
    </w:p>
    <w:tbl>
      <w:tblPr>
        <w:tblStyle w:val="7"/>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Calibri" w:hAnsi="Calibri" w:cs="Calibri"/>
                <w:kern w:val="0"/>
                <w:sz w:val="21"/>
                <w:szCs w:val="21"/>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eastAsia="宋体"/>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rPr>
                <w:rFonts w:hint="eastAsia" w:ascii="宋体" w:eastAsia="宋体"/>
                <w:sz w:val="24"/>
                <w:szCs w:val="24"/>
                <w:lang w:val="en-US" w:eastAsia="zh-CN"/>
              </w:rPr>
            </w:pPr>
            <w:r>
              <w:rPr>
                <w:rFonts w:hint="eastAsia" w:ascii="宋体"/>
                <w:sz w:val="24"/>
                <w:szCs w:val="24"/>
                <w:lang w:val="en-US" w:eastAsia="zh-CN"/>
              </w:rPr>
              <w:t>0</w:t>
            </w:r>
          </w:p>
        </w:tc>
      </w:tr>
    </w:tbl>
    <w:p>
      <w:pPr>
        <w:pStyle w:val="4"/>
        <w:numPr>
          <w:ilvl w:val="0"/>
          <w:numId w:val="0"/>
        </w:numPr>
        <w:rPr>
          <w:rFonts w:hint="eastAsia"/>
        </w:rPr>
      </w:pPr>
    </w:p>
    <w:p>
      <w:pPr>
        <w:pStyle w:val="4"/>
        <w:numPr>
          <w:ilvl w:val="0"/>
          <w:numId w:val="0"/>
        </w:numPr>
        <w:rPr>
          <w:rFonts w:hint="eastAsia"/>
        </w:rPr>
      </w:pPr>
    </w:p>
    <w:p>
      <w:pPr>
        <w:numPr>
          <w:ilvl w:val="0"/>
          <w:numId w:val="1"/>
        </w:numPr>
        <w:spacing w:line="560" w:lineRule="exact"/>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宋体" w:hAnsi="宋体" w:eastAsia="宋体" w:cs="宋体"/>
          <w:i w:val="0"/>
          <w:caps w:val="0"/>
          <w:color w:val="333333"/>
          <w:spacing w:val="0"/>
          <w:sz w:val="24"/>
          <w:szCs w:val="24"/>
        </w:rPr>
      </w:pPr>
    </w:p>
    <w:tbl>
      <w:tblPr>
        <w:tblStyle w:val="7"/>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9BC2E6"/>
            <w:noWrap w:val="0"/>
            <w:tcMar>
              <w:left w:w="57" w:type="dxa"/>
              <w:right w:w="57" w:type="dxa"/>
            </w:tcMar>
            <w:vAlign w:val="center"/>
          </w:tcPr>
          <w:p>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ascii="Calibri" w:hAnsi="Calibri" w:cs="Calibri"/>
                <w:kern w:val="0"/>
                <w:sz w:val="20"/>
                <w:szCs w:val="20"/>
                <w:lang w:val="en-US" w:eastAsia="zh-CN" w:bidi="ar"/>
              </w:rPr>
              <w:t> </w:t>
            </w: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default"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bl>
    <w:p>
      <w:pPr>
        <w:pStyle w:val="4"/>
        <w:numPr>
          <w:ilvl w:val="0"/>
          <w:numId w:val="0"/>
        </w:numPr>
        <w:ind w:leftChars="200"/>
        <w:rPr>
          <w:rFonts w:hint="eastAsia"/>
        </w:rPr>
      </w:pPr>
    </w:p>
    <w:p>
      <w:pPr>
        <w:pStyle w:val="4"/>
        <w:numPr>
          <w:ilvl w:val="0"/>
          <w:numId w:val="0"/>
        </w:numPr>
        <w:ind w:leftChars="200"/>
        <w:rPr>
          <w:rFonts w:hint="eastAsia"/>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bl>
      <w:tblPr>
        <w:tblStyle w:val="7"/>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宋体"/>
                <w:lang w:val="en-US" w:eastAsia="zh-CN"/>
              </w:rPr>
            </w:pPr>
            <w:r>
              <w:rPr>
                <w:rFonts w:hint="eastAsia"/>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r>
              <w:rPr>
                <w:rFonts w:hint="eastAsia"/>
                <w:lang w:val="en-US" w:eastAsia="zh-CN"/>
              </w:rPr>
              <w:t>0</w:t>
            </w:r>
          </w:p>
        </w:tc>
      </w:tr>
    </w:tbl>
    <w:p>
      <w:pPr>
        <w:keepNext w:val="0"/>
        <w:keepLines w:val="0"/>
        <w:widowControl/>
        <w:suppressLineNumbers w:val="0"/>
        <w:jc w:val="left"/>
      </w:pPr>
    </w:p>
    <w:p>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widowControl/>
        <w:spacing w:line="560" w:lineRule="exact"/>
        <w:ind w:firstLine="675"/>
        <w:jc w:val="left"/>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政务新媒体平台运营质量相对薄弱，缺乏专业人才，工作经验不足。为做好我局政务新媒体运营工作，委派一名工作人员参加市局新媒体运营以干代训活动，学习政务新媒体信息撰写、编辑、排版、校对等内容。经过两个月的学习，工作人员写作整合能力、政治敏感度、页面排版等方面均有所提高，我局政务新媒体运营质量明显提升。</w:t>
      </w:r>
    </w:p>
    <w:p>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widowControl/>
        <w:spacing w:line="560" w:lineRule="exact"/>
        <w:jc w:val="left"/>
        <w:rPr>
          <w:rFonts w:hint="eastAsia" w:ascii="仿宋_GB2312" w:hAnsi="宋体" w:eastAsia="仿宋_GB2312" w:cs="宋体"/>
          <w:color w:val="auto"/>
          <w:spacing w:val="8"/>
          <w:kern w:val="0"/>
          <w:sz w:val="32"/>
          <w:szCs w:val="32"/>
          <w:lang w:val="en-US" w:eastAsia="zh-CN"/>
        </w:rPr>
      </w:pPr>
      <w:r>
        <w:rPr>
          <w:rFonts w:ascii="宋体" w:hAnsi="宋体" w:cs="宋体"/>
          <w:spacing w:val="8"/>
          <w:kern w:val="0"/>
          <w:sz w:val="32"/>
          <w:szCs w:val="32"/>
        </w:rPr>
        <w:t>　　</w:t>
      </w:r>
      <w:r>
        <w:rPr>
          <w:rFonts w:hint="eastAsia" w:ascii="仿宋_GB2312" w:hAnsi="宋体" w:eastAsia="仿宋_GB2312" w:cs="宋体"/>
          <w:color w:val="auto"/>
          <w:spacing w:val="8"/>
          <w:kern w:val="0"/>
          <w:sz w:val="32"/>
          <w:szCs w:val="32"/>
          <w:lang w:val="en-US" w:eastAsia="zh-CN"/>
        </w:rPr>
        <w:t>我单位本年度发出收费通知的件数和总金额以及实际收取的总金额均为0。</w:t>
      </w:r>
    </w:p>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D1AF5F8-D726-4ADB-A2A3-2F461508520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FB47C02-891C-416D-8676-B0252B63D864}"/>
  </w:font>
  <w:font w:name="方正小标宋简体">
    <w:panose1 w:val="02000000000000000000"/>
    <w:charset w:val="86"/>
    <w:family w:val="auto"/>
    <w:pitch w:val="default"/>
    <w:sig w:usb0="00000001" w:usb1="08000000" w:usb2="00000000" w:usb3="00000000" w:csb0="00040000" w:csb1="00000000"/>
    <w:embedRegular r:id="rId3" w:fontKey="{155F2B98-760F-42BE-B58A-FE52172075C5}"/>
  </w:font>
  <w:font w:name="微软雅黑">
    <w:panose1 w:val="020B0503020204020204"/>
    <w:charset w:val="86"/>
    <w:family w:val="swiss"/>
    <w:pitch w:val="default"/>
    <w:sig w:usb0="80000287" w:usb1="2ACF3C50" w:usb2="00000016" w:usb3="00000000" w:csb0="0004001F" w:csb1="00000000"/>
    <w:embedRegular r:id="rId4" w:fontKey="{A0676CF1-4019-4F37-929B-CD5B64464780}"/>
  </w:font>
  <w:font w:name="仿宋_GB2312">
    <w:altName w:val="仿宋"/>
    <w:panose1 w:val="02010609030101010101"/>
    <w:charset w:val="86"/>
    <w:family w:val="modern"/>
    <w:pitch w:val="default"/>
    <w:sig w:usb0="00000000" w:usb1="00000000" w:usb2="00000000" w:usb3="00000000" w:csb0="00040000" w:csb1="00000000"/>
    <w:embedRegular r:id="rId5" w:fontKey="{5132E569-FA19-4FA4-B2BE-9C783F81468F}"/>
  </w:font>
  <w:font w:name="楷体_GB2312">
    <w:altName w:val="楷体"/>
    <w:panose1 w:val="02010609030101010101"/>
    <w:charset w:val="86"/>
    <w:family w:val="auto"/>
    <w:pitch w:val="default"/>
    <w:sig w:usb0="00000000" w:usb1="00000000" w:usb2="00000000" w:usb3="00000000" w:csb0="00040000" w:csb1="00000000"/>
    <w:embedRegular r:id="rId6" w:fontKey="{F07FA7A8-F86B-4E74-B125-94EC0BA1BCFF}"/>
  </w:font>
  <w:font w:name="仿宋">
    <w:panose1 w:val="02010609060101010101"/>
    <w:charset w:val="86"/>
    <w:family w:val="auto"/>
    <w:pitch w:val="default"/>
    <w:sig w:usb0="800002BF" w:usb1="38CF7CFA" w:usb2="00000016" w:usb3="00000000" w:csb0="00040001" w:csb1="00000000"/>
    <w:embedRegular r:id="rId7" w:fontKey="{448B9A78-BB85-47DE-A8D0-093863B1E61F}"/>
  </w:font>
  <w:font w:name="楷体">
    <w:panose1 w:val="02010609060101010101"/>
    <w:charset w:val="86"/>
    <w:family w:val="modern"/>
    <w:pitch w:val="default"/>
    <w:sig w:usb0="800002BF" w:usb1="38CF7CFA" w:usb2="00000016" w:usb3="00000000" w:csb0="00040001" w:csb1="00000000"/>
    <w:embedRegular r:id="rId8" w:fontKey="{ABDACC26-ACF4-47BB-B2B9-A58DB5EB743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mODEzMjhjYzAyOGQ2M2M1OWQ1ODAyZTg4N2UwN2UifQ=="/>
  </w:docVars>
  <w:rsids>
    <w:rsidRoot w:val="00000000"/>
    <w:rsid w:val="0FF414FA"/>
    <w:rsid w:val="3E762BFC"/>
    <w:rsid w:val="3F755AD3"/>
    <w:rsid w:val="420753B8"/>
    <w:rsid w:val="5009741E"/>
    <w:rsid w:val="521C72CF"/>
    <w:rsid w:val="696D77AE"/>
    <w:rsid w:val="754F0769"/>
    <w:rsid w:val="75DE4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pPr>
  </w:style>
  <w:style w:type="paragraph" w:styleId="3">
    <w:name w:val="Body Text"/>
    <w:basedOn w:val="1"/>
    <w:unhideWhenUsed/>
    <w:qFormat/>
    <w:uiPriority w:val="99"/>
    <w:pPr>
      <w:spacing w:after="120" w:afterLines="0"/>
    </w:pPr>
    <w:rPr>
      <w:szCs w:val="20"/>
    </w:rPr>
  </w:style>
  <w:style w:type="paragraph" w:styleId="4">
    <w:name w:val="Plain Text"/>
    <w:basedOn w:val="1"/>
    <w:qFormat/>
    <w:uiPriority w:val="0"/>
    <w:rPr>
      <w:rFonts w:ascii="宋体" w:hAnsi="Courier New"/>
    </w:rPr>
  </w:style>
  <w:style w:type="paragraph" w:styleId="5">
    <w:name w:val="Body Text Indent 2"/>
    <w:basedOn w:val="1"/>
    <w:qFormat/>
    <w:uiPriority w:val="0"/>
    <w:pPr>
      <w:spacing w:after="120" w:line="480" w:lineRule="auto"/>
      <w:ind w:left="420" w:leftChars="200"/>
    </w:pPr>
  </w:style>
  <w:style w:type="paragraph" w:styleId="6">
    <w:name w:val="Normal (Web)"/>
    <w:basedOn w:val="1"/>
    <w:unhideWhenUsed/>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1924</Words>
  <Characters>1971</Characters>
  <Lines>0</Lines>
  <Paragraphs>0</Paragraphs>
  <TotalTime>2</TotalTime>
  <ScaleCrop>false</ScaleCrop>
  <LinksUpToDate>false</LinksUpToDate>
  <CharactersWithSpaces>2144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2023-01-03T09:44:00Z</dcterms:created>
  <dc:creator>Administrator</dc:creator>
  <cp:lastModifiedBy>米露露</cp:lastModifiedBy>
  <dcterms:modified xsi:type="dcterms:W3CDTF">2023-02-08T04:40:33Z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3B1096BD79ED4984ADF20095175906D2</vt:lpwstr>
  </property>
</Properties>
</file>