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eastAsia="zh-CN"/>
        </w:rPr>
        <w:t>北京市大兴区林校路街道办事处</w:t>
      </w:r>
    </w:p>
    <w:p>
      <w:pPr>
        <w:spacing w:line="560" w:lineRule="exact"/>
        <w:jc w:val="center"/>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2</w:t>
      </w:r>
      <w:r>
        <w:rPr>
          <w:rFonts w:hint="eastAsia" w:ascii="方正小标宋简体" w:hAnsi="方正小标宋简体" w:eastAsia="方正小标宋简体" w:cs="方正小标宋简体"/>
          <w:sz w:val="44"/>
          <w:szCs w:val="44"/>
          <w:highlight w:val="none"/>
        </w:rPr>
        <w:t>年政府信息公开工作年度报告</w:t>
      </w:r>
    </w:p>
    <w:p>
      <w:pPr>
        <w:spacing w:line="560" w:lineRule="exact"/>
        <w:jc w:val="center"/>
        <w:rPr>
          <w:sz w:val="44"/>
          <w:szCs w:val="44"/>
        </w:rPr>
      </w:pPr>
      <w:r>
        <w:rPr>
          <w:rFonts w:hint="eastAsia" w:ascii="微软雅黑" w:hAnsi="微软雅黑" w:eastAsia="微软雅黑" w:cs="宋体"/>
          <w:color w:val="404040"/>
          <w:kern w:val="0"/>
          <w:sz w:val="24"/>
          <w:highlight w:val="none"/>
        </w:rPr>
        <w:t>　</w:t>
      </w:r>
      <w:r>
        <w:rPr>
          <w:rFonts w:hint="eastAsia" w:ascii="微软雅黑" w:hAnsi="微软雅黑" w:eastAsia="微软雅黑" w:cs="宋体"/>
          <w:color w:val="404040"/>
          <w:kern w:val="0"/>
          <w:sz w:val="32"/>
          <w:szCs w:val="32"/>
          <w:highlight w:val="none"/>
        </w:rPr>
        <w:t xml:space="preserve"> </w:t>
      </w:r>
      <w:r>
        <w:rPr>
          <w:rFonts w:ascii="微软雅黑" w:hAnsi="微软雅黑" w:eastAsia="微软雅黑" w:cs="宋体"/>
          <w:color w:val="404040"/>
          <w:kern w:val="0"/>
          <w:sz w:val="32"/>
          <w:szCs w:val="32"/>
          <w:highlight w:val="none"/>
        </w:rPr>
        <w:t xml:space="preserve"> </w:t>
      </w:r>
    </w:p>
    <w:p>
      <w:pPr>
        <w:widowControl/>
        <w:spacing w:line="560" w:lineRule="exact"/>
        <w:jc w:val="left"/>
        <w:rPr>
          <w:rFonts w:hint="eastAsia" w:ascii="仿宋_GB2312" w:hAnsi="宋体" w:eastAsia="仿宋_GB2312" w:cs="宋体"/>
          <w:spacing w:val="8"/>
          <w:kern w:val="0"/>
          <w:sz w:val="32"/>
          <w:szCs w:val="32"/>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p>
    <w:p>
      <w:pPr>
        <w:keepNext w:val="0"/>
        <w:keepLines w:val="0"/>
        <w:pageBreakBefore w:val="0"/>
        <w:widowControl/>
        <w:kinsoku/>
        <w:wordWrap/>
        <w:overflowPunct/>
        <w:topLinePunct w:val="0"/>
        <w:autoSpaceDE/>
        <w:autoSpaceDN/>
        <w:bidi w:val="0"/>
        <w:spacing w:line="560" w:lineRule="exact"/>
        <w:ind w:firstLine="672" w:firstLineChars="200"/>
        <w:jc w:val="both"/>
        <w:textAlignment w:val="auto"/>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pPr>
        <w:keepNext w:val="0"/>
        <w:keepLines w:val="0"/>
        <w:pageBreakBefore w:val="0"/>
        <w:widowControl/>
        <w:kinsoku/>
        <w:wordWrap/>
        <w:overflowPunct/>
        <w:topLinePunct w:val="0"/>
        <w:autoSpaceDE/>
        <w:autoSpaceDN/>
        <w:bidi w:val="0"/>
        <w:spacing w:line="560" w:lineRule="exact"/>
        <w:ind w:firstLine="672" w:firstLineChars="200"/>
        <w:jc w:val="both"/>
        <w:textAlignment w:val="auto"/>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202</w:t>
      </w:r>
      <w:r>
        <w:rPr>
          <w:rFonts w:hint="eastAsia" w:ascii="仿宋_GB2312" w:hAnsi="宋体" w:eastAsia="仿宋_GB2312" w:cs="宋体"/>
          <w:spacing w:val="8"/>
          <w:kern w:val="0"/>
          <w:sz w:val="32"/>
          <w:szCs w:val="32"/>
          <w:lang w:val="en-US" w:eastAsia="zh-CN"/>
        </w:rPr>
        <w:t>2</w:t>
      </w:r>
      <w:r>
        <w:rPr>
          <w:rFonts w:hint="eastAsia" w:ascii="仿宋_GB2312" w:hAnsi="宋体" w:eastAsia="仿宋_GB2312" w:cs="宋体"/>
          <w:spacing w:val="8"/>
          <w:kern w:val="0"/>
          <w:sz w:val="32"/>
          <w:szCs w:val="32"/>
        </w:rPr>
        <w:t>年，在区委、区政府的坚强领导下，在区政务服务管理局的具体指导下，林校路街道积极推进政务公开工作，现将全年工作总结如下：</w:t>
      </w:r>
      <w:bookmarkStart w:id="0" w:name="_GoBack"/>
      <w:bookmarkEnd w:id="0"/>
    </w:p>
    <w:p>
      <w:pPr>
        <w:keepNext w:val="0"/>
        <w:keepLines w:val="0"/>
        <w:pageBreakBefore w:val="0"/>
        <w:widowControl/>
        <w:kinsoku/>
        <w:wordWrap/>
        <w:overflowPunct/>
        <w:topLinePunct w:val="0"/>
        <w:autoSpaceDE/>
        <w:autoSpaceDN/>
        <w:bidi w:val="0"/>
        <w:spacing w:line="560" w:lineRule="exact"/>
        <w:ind w:firstLine="672" w:firstLineChars="200"/>
        <w:jc w:val="both"/>
        <w:textAlignment w:val="auto"/>
        <w:rPr>
          <w:rFonts w:hint="eastAsia" w:ascii="楷体_GB2312" w:hAnsi="楷体_GB2312" w:eastAsia="楷体_GB2312" w:cs="楷体_GB2312"/>
          <w:spacing w:val="8"/>
          <w:kern w:val="0"/>
          <w:sz w:val="32"/>
          <w:szCs w:val="32"/>
          <w:lang w:val="en-US" w:eastAsia="zh-CN"/>
        </w:rPr>
      </w:pPr>
      <w:r>
        <w:rPr>
          <w:rFonts w:hint="eastAsia" w:ascii="楷体_GB2312" w:hAnsi="楷体_GB2312" w:eastAsia="楷体_GB2312" w:cs="楷体_GB2312"/>
          <w:spacing w:val="8"/>
          <w:kern w:val="0"/>
          <w:sz w:val="32"/>
          <w:szCs w:val="32"/>
        </w:rPr>
        <w:t>（一）</w:t>
      </w:r>
      <w:r>
        <w:rPr>
          <w:rFonts w:hint="eastAsia" w:ascii="楷体_GB2312" w:hAnsi="楷体_GB2312" w:eastAsia="楷体_GB2312" w:cs="楷体_GB2312"/>
          <w:spacing w:val="8"/>
          <w:kern w:val="0"/>
          <w:sz w:val="32"/>
          <w:szCs w:val="32"/>
          <w:lang w:eastAsia="zh-CN"/>
        </w:rPr>
        <w:t>组织领导</w:t>
      </w:r>
    </w:p>
    <w:p>
      <w:pPr>
        <w:keepNext w:val="0"/>
        <w:keepLines w:val="0"/>
        <w:pageBreakBefore w:val="0"/>
        <w:widowControl/>
        <w:kinsoku/>
        <w:wordWrap/>
        <w:overflowPunct/>
        <w:topLinePunct w:val="0"/>
        <w:autoSpaceDE/>
        <w:autoSpaceDN/>
        <w:bidi w:val="0"/>
        <w:spacing w:line="560" w:lineRule="exact"/>
        <w:ind w:firstLine="675" w:firstLineChars="200"/>
        <w:jc w:val="both"/>
        <w:textAlignment w:val="auto"/>
        <w:rPr>
          <w:rFonts w:ascii="仿宋_GB2312" w:hAnsi="宋体" w:eastAsia="仿宋_GB2312" w:cs="宋体"/>
          <w:spacing w:val="8"/>
          <w:kern w:val="0"/>
          <w:sz w:val="32"/>
          <w:szCs w:val="32"/>
        </w:rPr>
      </w:pPr>
      <w:r>
        <w:rPr>
          <w:rFonts w:hint="eastAsia" w:ascii="仿宋_GB2312" w:hAnsi="宋体" w:eastAsia="仿宋_GB2312" w:cs="宋体"/>
          <w:b/>
          <w:bCs/>
          <w:spacing w:val="8"/>
          <w:kern w:val="0"/>
          <w:sz w:val="32"/>
          <w:szCs w:val="32"/>
        </w:rPr>
        <w:t>一是</w:t>
      </w:r>
      <w:r>
        <w:rPr>
          <w:rFonts w:hint="eastAsia" w:ascii="仿宋_GB2312" w:hAnsi="宋体" w:eastAsia="仿宋_GB2312" w:cs="宋体"/>
          <w:b w:val="0"/>
          <w:bCs w:val="0"/>
          <w:spacing w:val="8"/>
          <w:kern w:val="0"/>
          <w:sz w:val="32"/>
          <w:szCs w:val="32"/>
          <w:lang w:eastAsia="zh-CN"/>
        </w:rPr>
        <w:t>完善政务公开工作组织架构</w:t>
      </w:r>
      <w:r>
        <w:rPr>
          <w:rFonts w:hint="eastAsia" w:ascii="仿宋_GB2312" w:hAnsi="宋体" w:eastAsia="仿宋_GB2312" w:cs="宋体"/>
          <w:b w:val="0"/>
          <w:bCs w:val="0"/>
          <w:spacing w:val="8"/>
          <w:kern w:val="0"/>
          <w:sz w:val="32"/>
          <w:szCs w:val="32"/>
        </w:rPr>
        <w:t>。</w:t>
      </w:r>
      <w:r>
        <w:rPr>
          <w:rFonts w:hint="eastAsia" w:ascii="仿宋_GB2312" w:hAnsi="宋体" w:eastAsia="仿宋_GB2312" w:cs="宋体"/>
          <w:b w:val="0"/>
          <w:bCs w:val="0"/>
          <w:spacing w:val="8"/>
          <w:kern w:val="0"/>
          <w:sz w:val="32"/>
          <w:szCs w:val="32"/>
          <w:lang w:eastAsia="zh-CN"/>
        </w:rPr>
        <w:t>街道领导班子始终高度重视信息公开工作，</w:t>
      </w:r>
      <w:r>
        <w:rPr>
          <w:rFonts w:hint="eastAsia" w:ascii="仿宋_GB2312" w:hAnsi="宋体" w:eastAsia="仿宋_GB2312" w:cs="宋体"/>
          <w:b w:val="0"/>
          <w:bCs w:val="0"/>
          <w:spacing w:val="8"/>
          <w:kern w:val="0"/>
          <w:sz w:val="32"/>
          <w:szCs w:val="32"/>
        </w:rPr>
        <w:t>成立“林校路街道办事处政府信息公开工作领导小组”</w:t>
      </w:r>
      <w:r>
        <w:rPr>
          <w:rFonts w:hint="eastAsia" w:ascii="仿宋_GB2312" w:hAnsi="宋体" w:eastAsia="仿宋_GB2312" w:cs="宋体"/>
          <w:b w:val="0"/>
          <w:bCs w:val="0"/>
          <w:spacing w:val="8"/>
          <w:kern w:val="0"/>
          <w:sz w:val="32"/>
          <w:szCs w:val="32"/>
          <w:lang w:eastAsia="zh-CN"/>
        </w:rPr>
        <w:t>，</w:t>
      </w:r>
      <w:r>
        <w:rPr>
          <w:rFonts w:hint="eastAsia" w:ascii="仿宋_GB2312" w:hAnsi="宋体" w:eastAsia="仿宋_GB2312" w:cs="宋体"/>
          <w:b w:val="0"/>
          <w:bCs w:val="0"/>
          <w:spacing w:val="8"/>
          <w:kern w:val="0"/>
          <w:sz w:val="32"/>
          <w:szCs w:val="32"/>
          <w:highlight w:val="none"/>
        </w:rPr>
        <w:t>街道办事处副主任</w:t>
      </w:r>
      <w:r>
        <w:rPr>
          <w:rFonts w:hint="eastAsia" w:ascii="仿宋_GB2312" w:hAnsi="宋体" w:eastAsia="仿宋_GB2312" w:cs="宋体"/>
          <w:b w:val="0"/>
          <w:bCs w:val="0"/>
          <w:spacing w:val="8"/>
          <w:kern w:val="0"/>
          <w:sz w:val="32"/>
          <w:szCs w:val="32"/>
          <w:highlight w:val="none"/>
          <w:lang w:eastAsia="zh-CN"/>
        </w:rPr>
        <w:t>任组长，</w:t>
      </w:r>
      <w:r>
        <w:rPr>
          <w:rFonts w:hint="eastAsia" w:ascii="仿宋_GB2312" w:hAnsi="宋体" w:eastAsia="仿宋_GB2312" w:cs="宋体"/>
          <w:b w:val="0"/>
          <w:bCs w:val="0"/>
          <w:spacing w:val="8"/>
          <w:kern w:val="0"/>
          <w:sz w:val="32"/>
          <w:szCs w:val="32"/>
          <w:highlight w:val="none"/>
        </w:rPr>
        <w:t>下设办公室在</w:t>
      </w:r>
      <w:r>
        <w:rPr>
          <w:rFonts w:hint="eastAsia" w:ascii="仿宋_GB2312" w:hAnsi="宋体" w:eastAsia="仿宋_GB2312" w:cs="宋体"/>
          <w:b w:val="0"/>
          <w:bCs w:val="0"/>
          <w:spacing w:val="8"/>
          <w:kern w:val="0"/>
          <w:sz w:val="32"/>
          <w:szCs w:val="32"/>
          <w:highlight w:val="none"/>
          <w:lang w:eastAsia="zh-CN"/>
        </w:rPr>
        <w:t>街道</w:t>
      </w:r>
      <w:r>
        <w:rPr>
          <w:rFonts w:hint="eastAsia" w:ascii="仿宋_GB2312" w:hAnsi="宋体" w:eastAsia="仿宋_GB2312" w:cs="宋体"/>
          <w:b w:val="0"/>
          <w:bCs w:val="0"/>
          <w:spacing w:val="8"/>
          <w:kern w:val="0"/>
          <w:sz w:val="32"/>
          <w:szCs w:val="32"/>
          <w:highlight w:val="none"/>
        </w:rPr>
        <w:t>综合办公室，</w:t>
      </w:r>
      <w:r>
        <w:rPr>
          <w:rFonts w:hint="eastAsia" w:ascii="仿宋_GB2312" w:hAnsi="宋体" w:eastAsia="仿宋_GB2312" w:cs="宋体"/>
          <w:b w:val="0"/>
          <w:bCs w:val="0"/>
          <w:spacing w:val="8"/>
          <w:kern w:val="0"/>
          <w:sz w:val="32"/>
          <w:szCs w:val="32"/>
          <w:highlight w:val="none"/>
          <w:lang w:eastAsia="zh-CN"/>
        </w:rPr>
        <w:t>并</w:t>
      </w:r>
      <w:r>
        <w:rPr>
          <w:rFonts w:hint="eastAsia" w:ascii="仿宋_GB2312" w:hAnsi="宋体" w:eastAsia="仿宋_GB2312" w:cs="宋体"/>
          <w:b w:val="0"/>
          <w:bCs w:val="0"/>
          <w:spacing w:val="8"/>
          <w:kern w:val="0"/>
          <w:sz w:val="32"/>
          <w:szCs w:val="32"/>
        </w:rPr>
        <w:t>设立政务公开专职工作人员负责具体工作。</w:t>
      </w:r>
      <w:r>
        <w:rPr>
          <w:rFonts w:hint="eastAsia" w:ascii="仿宋_GB2312" w:hAnsi="宋体" w:eastAsia="仿宋_GB2312" w:cs="宋体"/>
          <w:b/>
          <w:bCs/>
          <w:spacing w:val="8"/>
          <w:kern w:val="0"/>
          <w:sz w:val="32"/>
          <w:szCs w:val="32"/>
        </w:rPr>
        <w:t>二是</w:t>
      </w:r>
      <w:r>
        <w:rPr>
          <w:rFonts w:hint="eastAsia" w:ascii="仿宋_GB2312" w:hAnsi="宋体" w:eastAsia="仿宋_GB2312" w:cs="宋体"/>
          <w:b w:val="0"/>
          <w:bCs w:val="0"/>
          <w:spacing w:val="8"/>
          <w:kern w:val="0"/>
          <w:sz w:val="32"/>
          <w:szCs w:val="32"/>
          <w:lang w:eastAsia="zh-CN"/>
        </w:rPr>
        <w:t>以每月绩效考核推动工作高质量完成</w:t>
      </w:r>
      <w:r>
        <w:rPr>
          <w:rFonts w:hint="eastAsia" w:ascii="仿宋_GB2312" w:hAnsi="宋体" w:eastAsia="仿宋_GB2312" w:cs="宋体"/>
          <w:b w:val="0"/>
          <w:bCs w:val="0"/>
          <w:spacing w:val="8"/>
          <w:kern w:val="0"/>
          <w:sz w:val="32"/>
          <w:szCs w:val="32"/>
        </w:rPr>
        <w:t>。</w:t>
      </w:r>
      <w:r>
        <w:rPr>
          <w:rFonts w:hint="eastAsia" w:ascii="仿宋_GB2312" w:hAnsi="宋体" w:eastAsia="仿宋_GB2312" w:cs="宋体"/>
          <w:b w:val="0"/>
          <w:bCs w:val="0"/>
          <w:spacing w:val="8"/>
          <w:kern w:val="0"/>
          <w:sz w:val="32"/>
          <w:szCs w:val="32"/>
          <w:lang w:eastAsia="zh-CN"/>
        </w:rPr>
        <w:t>根据制订的信息公开主责科室，以每月发布数量、内容为考核标准，以考核促成效</w:t>
      </w:r>
      <w:r>
        <w:rPr>
          <w:rFonts w:hint="eastAsia" w:ascii="仿宋_GB2312" w:hAnsi="宋体" w:eastAsia="仿宋_GB2312" w:cs="宋体"/>
          <w:spacing w:val="8"/>
          <w:kern w:val="0"/>
          <w:sz w:val="32"/>
          <w:szCs w:val="32"/>
        </w:rPr>
        <w:t>。</w:t>
      </w:r>
      <w:r>
        <w:rPr>
          <w:rFonts w:hint="eastAsia" w:ascii="仿宋_GB2312" w:hAnsi="宋体" w:eastAsia="仿宋_GB2312" w:cs="宋体"/>
          <w:b/>
          <w:bCs/>
          <w:spacing w:val="8"/>
          <w:kern w:val="0"/>
          <w:sz w:val="32"/>
          <w:szCs w:val="32"/>
        </w:rPr>
        <w:t>三是</w:t>
      </w:r>
      <w:r>
        <w:rPr>
          <w:rFonts w:hint="eastAsia" w:ascii="仿宋_GB2312" w:hAnsi="宋体" w:eastAsia="仿宋_GB2312" w:cs="宋体"/>
          <w:b w:val="0"/>
          <w:bCs w:val="0"/>
          <w:spacing w:val="8"/>
          <w:kern w:val="0"/>
          <w:sz w:val="32"/>
          <w:szCs w:val="32"/>
          <w:lang w:eastAsia="zh-CN"/>
        </w:rPr>
        <w:t>完善信息发布制度</w:t>
      </w:r>
      <w:r>
        <w:rPr>
          <w:rFonts w:hint="eastAsia" w:ascii="仿宋_GB2312" w:hAnsi="宋体" w:eastAsia="仿宋_GB2312" w:cs="宋体"/>
          <w:b w:val="0"/>
          <w:bCs w:val="0"/>
          <w:spacing w:val="8"/>
          <w:kern w:val="0"/>
          <w:sz w:val="32"/>
          <w:szCs w:val="32"/>
        </w:rPr>
        <w:t>。</w:t>
      </w:r>
      <w:r>
        <w:rPr>
          <w:rFonts w:hint="eastAsia" w:ascii="仿宋_GB2312" w:hAnsi="宋体" w:eastAsia="仿宋_GB2312" w:cs="宋体"/>
          <w:b w:val="0"/>
          <w:bCs w:val="0"/>
          <w:spacing w:val="8"/>
          <w:kern w:val="0"/>
          <w:sz w:val="32"/>
          <w:szCs w:val="32"/>
          <w:lang w:eastAsia="zh-CN"/>
        </w:rPr>
        <w:t>落实</w:t>
      </w:r>
      <w:r>
        <w:rPr>
          <w:rFonts w:hint="eastAsia" w:ascii="仿宋_GB2312" w:hAnsi="宋体" w:eastAsia="仿宋_GB2312" w:cs="宋体"/>
          <w:b w:val="0"/>
          <w:bCs w:val="0"/>
          <w:spacing w:val="8"/>
          <w:kern w:val="0"/>
          <w:sz w:val="32"/>
          <w:szCs w:val="32"/>
        </w:rPr>
        <w:t>政府信息公开保密审查机制</w:t>
      </w:r>
      <w:r>
        <w:rPr>
          <w:rFonts w:hint="eastAsia" w:ascii="仿宋_GB2312" w:hAnsi="宋体" w:eastAsia="仿宋_GB2312" w:cs="宋体"/>
          <w:b w:val="0"/>
          <w:bCs w:val="0"/>
          <w:spacing w:val="8"/>
          <w:kern w:val="0"/>
          <w:sz w:val="32"/>
          <w:szCs w:val="32"/>
          <w:lang w:eastAsia="zh-CN"/>
        </w:rPr>
        <w:t>，</w:t>
      </w:r>
      <w:r>
        <w:rPr>
          <w:rFonts w:hint="eastAsia" w:ascii="仿宋_GB2312" w:hAnsi="宋体" w:eastAsia="仿宋_GB2312" w:cs="宋体"/>
          <w:b w:val="0"/>
          <w:bCs w:val="0"/>
          <w:spacing w:val="8"/>
          <w:kern w:val="0"/>
          <w:sz w:val="32"/>
          <w:szCs w:val="32"/>
        </w:rPr>
        <w:t>规范政务新媒体运营管理机制</w:t>
      </w:r>
      <w:r>
        <w:rPr>
          <w:rFonts w:hint="eastAsia" w:ascii="仿宋_GB2312" w:hAnsi="宋体" w:eastAsia="仿宋_GB2312" w:cs="宋体"/>
          <w:spacing w:val="8"/>
          <w:kern w:val="0"/>
          <w:sz w:val="32"/>
          <w:szCs w:val="32"/>
        </w:rPr>
        <w:t>。</w:t>
      </w:r>
    </w:p>
    <w:p>
      <w:pPr>
        <w:keepNext w:val="0"/>
        <w:keepLines w:val="0"/>
        <w:pageBreakBefore w:val="0"/>
        <w:widowControl/>
        <w:kinsoku/>
        <w:wordWrap/>
        <w:overflowPunct/>
        <w:topLinePunct w:val="0"/>
        <w:autoSpaceDE/>
        <w:autoSpaceDN/>
        <w:bidi w:val="0"/>
        <w:spacing w:line="560" w:lineRule="exact"/>
        <w:ind w:firstLine="672" w:firstLineChars="200"/>
        <w:jc w:val="both"/>
        <w:textAlignment w:val="auto"/>
        <w:rPr>
          <w:rFonts w:hint="eastAsia" w:ascii="楷体_GB2312" w:hAnsi="楷体_GB2312" w:eastAsia="楷体_GB2312" w:cs="楷体_GB2312"/>
          <w:spacing w:val="8"/>
          <w:kern w:val="0"/>
          <w:sz w:val="32"/>
          <w:szCs w:val="32"/>
          <w:highlight w:val="none"/>
          <w:lang w:eastAsia="zh-CN"/>
        </w:rPr>
      </w:pPr>
      <w:r>
        <w:rPr>
          <w:rFonts w:hint="eastAsia" w:ascii="楷体_GB2312" w:hAnsi="楷体_GB2312" w:eastAsia="楷体_GB2312" w:cs="楷体_GB2312"/>
          <w:spacing w:val="8"/>
          <w:kern w:val="0"/>
          <w:sz w:val="32"/>
          <w:szCs w:val="32"/>
          <w:highlight w:val="none"/>
        </w:rPr>
        <w:t>（二）</w:t>
      </w:r>
      <w:r>
        <w:rPr>
          <w:rFonts w:hint="eastAsia" w:ascii="楷体_GB2312" w:hAnsi="楷体_GB2312" w:eastAsia="楷体_GB2312" w:cs="楷体_GB2312"/>
          <w:spacing w:val="8"/>
          <w:kern w:val="0"/>
          <w:sz w:val="32"/>
          <w:szCs w:val="32"/>
          <w:highlight w:val="none"/>
          <w:lang w:eastAsia="zh-CN"/>
        </w:rPr>
        <w:t>主动公开</w:t>
      </w:r>
    </w:p>
    <w:p>
      <w:pPr>
        <w:keepNext w:val="0"/>
        <w:keepLines w:val="0"/>
        <w:pageBreakBefore w:val="0"/>
        <w:widowControl/>
        <w:kinsoku/>
        <w:wordWrap/>
        <w:overflowPunct/>
        <w:topLinePunct w:val="0"/>
        <w:autoSpaceDE/>
        <w:autoSpaceDN/>
        <w:bidi w:val="0"/>
        <w:spacing w:line="560" w:lineRule="exact"/>
        <w:ind w:firstLine="672" w:firstLineChars="200"/>
        <w:jc w:val="both"/>
        <w:textAlignment w:val="auto"/>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2022年全年主动公开信息共290条，在大兴动态、通知公告以及重点领域信息公开等专栏均有主动公开信息。</w:t>
      </w:r>
      <w:r>
        <w:rPr>
          <w:rFonts w:hint="eastAsia" w:ascii="仿宋_GB2312" w:hAnsi="仿宋_GB2312" w:eastAsia="仿宋_GB2312" w:cs="仿宋_GB2312"/>
          <w:sz w:val="32"/>
          <w:szCs w:val="32"/>
          <w:lang w:eastAsia="zh-CN"/>
        </w:rPr>
        <w:t>街道充分依托政府网站、政务新媒体、政务服务中心和便民服务站开展政务公开工作。</w:t>
      </w:r>
      <w:r>
        <w:rPr>
          <w:rFonts w:hint="eastAsia" w:ascii="仿宋_GB2312" w:hAnsi="仿宋_GB2312" w:eastAsia="仿宋_GB2312" w:cs="仿宋_GB2312"/>
          <w:sz w:val="32"/>
          <w:szCs w:val="32"/>
          <w:lang w:val="en-US" w:eastAsia="zh-CN"/>
        </w:rPr>
        <w:t>针对金悦府养老照料中心问题，主动联合区民政、规划、住建部门发布了《关于林校路街道养老照料中心配套设施使用公告》，使相关诉求量从100多件降为零诉求。</w:t>
      </w:r>
    </w:p>
    <w:p>
      <w:pPr>
        <w:keepNext w:val="0"/>
        <w:keepLines w:val="0"/>
        <w:pageBreakBefore w:val="0"/>
        <w:widowControl/>
        <w:kinsoku/>
        <w:wordWrap/>
        <w:overflowPunct/>
        <w:topLinePunct w:val="0"/>
        <w:autoSpaceDE/>
        <w:autoSpaceDN/>
        <w:bidi w:val="0"/>
        <w:spacing w:line="560" w:lineRule="exact"/>
        <w:ind w:firstLine="672" w:firstLineChars="200"/>
        <w:jc w:val="both"/>
        <w:textAlignment w:val="auto"/>
        <w:rPr>
          <w:rFonts w:hint="eastAsia" w:ascii="楷体_GB2312" w:hAnsi="楷体_GB2312" w:eastAsia="楷体_GB2312" w:cs="楷体_GB2312"/>
          <w:spacing w:val="8"/>
          <w:kern w:val="0"/>
          <w:sz w:val="32"/>
          <w:szCs w:val="32"/>
          <w:highlight w:val="none"/>
          <w:lang w:eastAsia="zh-CN"/>
        </w:rPr>
      </w:pPr>
      <w:r>
        <w:rPr>
          <w:rFonts w:hint="eastAsia" w:ascii="楷体_GB2312" w:hAnsi="楷体_GB2312" w:eastAsia="楷体_GB2312" w:cs="楷体_GB2312"/>
          <w:spacing w:val="8"/>
          <w:kern w:val="0"/>
          <w:sz w:val="32"/>
          <w:szCs w:val="32"/>
          <w:highlight w:val="none"/>
          <w:lang w:eastAsia="zh-CN"/>
        </w:rPr>
        <w:t>（三）</w:t>
      </w:r>
      <w:r>
        <w:rPr>
          <w:rFonts w:hint="eastAsia" w:ascii="仿宋_GB2312" w:hAnsi="仿宋_GB2312" w:eastAsia="仿宋_GB2312" w:cs="仿宋_GB2312"/>
          <w:b w:val="0"/>
          <w:bCs w:val="0"/>
          <w:color w:val="000000"/>
          <w:sz w:val="32"/>
          <w:szCs w:val="32"/>
          <w:highlight w:val="none"/>
        </w:rPr>
        <w:t>依申请公开</w:t>
      </w:r>
    </w:p>
    <w:p>
      <w:pPr>
        <w:keepNext w:val="0"/>
        <w:keepLines w:val="0"/>
        <w:pageBreakBefore w:val="0"/>
        <w:widowControl/>
        <w:kinsoku/>
        <w:wordWrap/>
        <w:overflowPunct/>
        <w:topLinePunct w:val="0"/>
        <w:autoSpaceDE/>
        <w:autoSpaceDN/>
        <w:bidi w:val="0"/>
        <w:spacing w:line="560" w:lineRule="exact"/>
        <w:ind w:firstLine="640" w:firstLineChars="200"/>
        <w:jc w:val="both"/>
        <w:textAlignment w:val="auto"/>
        <w:rPr>
          <w:rFonts w:hint="default" w:ascii="仿宋_GB2312" w:eastAsia="仿宋_GB2312"/>
          <w:sz w:val="32"/>
          <w:szCs w:val="32"/>
          <w:highlight w:val="yellow"/>
          <w:lang w:val="en-US" w:eastAsia="zh-CN"/>
        </w:rPr>
      </w:pPr>
      <w:r>
        <w:rPr>
          <w:rFonts w:hint="eastAsia" w:ascii="仿宋_GB2312" w:hAnsi="仿宋_GB2312" w:eastAsia="仿宋_GB2312" w:cs="仿宋_GB2312"/>
          <w:sz w:val="32"/>
          <w:szCs w:val="32"/>
          <w:lang w:eastAsia="zh-CN"/>
        </w:rPr>
        <w:t>全年共</w:t>
      </w:r>
      <w:r>
        <w:rPr>
          <w:rFonts w:hint="eastAsia" w:ascii="仿宋_GB2312" w:hAnsi="仿宋_GB2312" w:eastAsia="仿宋_GB2312" w:cs="仿宋_GB2312"/>
          <w:sz w:val="32"/>
          <w:szCs w:val="32"/>
          <w:lang w:val="en-US" w:eastAsia="zh-CN"/>
        </w:rPr>
        <w:t>受理依申请公开案件3件，针对每个案件，街道领导高度重视，及时与诉求人沟通联系，明确其申请公开的诉求，解决其实际困难和诉求。诉求人主动撤销</w:t>
      </w:r>
      <w:r>
        <w:rPr>
          <w:rFonts w:hint="eastAsia" w:ascii="仿宋_GB2312" w:hAnsi="仿宋_GB2312" w:eastAsia="仿宋_GB2312" w:cs="仿宋_GB2312"/>
          <w:b w:val="0"/>
          <w:bCs w:val="0"/>
          <w:color w:val="000000"/>
          <w:sz w:val="32"/>
          <w:szCs w:val="32"/>
          <w:highlight w:val="none"/>
        </w:rPr>
        <w:t>依申请公开</w:t>
      </w:r>
      <w:r>
        <w:rPr>
          <w:rFonts w:hint="eastAsia" w:ascii="仿宋_GB2312" w:hAnsi="仿宋_GB2312" w:eastAsia="仿宋_GB2312" w:cs="仿宋_GB2312"/>
          <w:sz w:val="32"/>
          <w:szCs w:val="32"/>
          <w:lang w:val="en-US" w:eastAsia="zh-CN"/>
        </w:rPr>
        <w:t>案件2件。</w:t>
      </w:r>
    </w:p>
    <w:p>
      <w:pPr>
        <w:keepNext w:val="0"/>
        <w:keepLines w:val="0"/>
        <w:pageBreakBefore w:val="0"/>
        <w:widowControl/>
        <w:kinsoku/>
        <w:wordWrap/>
        <w:overflowPunct/>
        <w:topLinePunct w:val="0"/>
        <w:autoSpaceDE/>
        <w:autoSpaceDN/>
        <w:bidi w:val="0"/>
        <w:spacing w:line="560" w:lineRule="exact"/>
        <w:ind w:firstLine="672" w:firstLineChars="200"/>
        <w:jc w:val="both"/>
        <w:textAlignment w:val="auto"/>
        <w:rPr>
          <w:rFonts w:hint="eastAsia" w:ascii="楷体_GB2312" w:hAnsi="楷体_GB2312" w:eastAsia="楷体_GB2312" w:cs="楷体_GB2312"/>
          <w:spacing w:val="8"/>
          <w:kern w:val="0"/>
          <w:sz w:val="32"/>
          <w:szCs w:val="32"/>
          <w:highlight w:val="none"/>
          <w:lang w:eastAsia="zh-CN"/>
        </w:rPr>
      </w:pPr>
      <w:r>
        <w:rPr>
          <w:rFonts w:hint="eastAsia" w:ascii="楷体_GB2312" w:hAnsi="楷体_GB2312" w:eastAsia="楷体_GB2312" w:cs="楷体_GB2312"/>
          <w:spacing w:val="8"/>
          <w:kern w:val="0"/>
          <w:sz w:val="32"/>
          <w:szCs w:val="32"/>
          <w:highlight w:val="none"/>
          <w:lang w:eastAsia="zh-CN"/>
        </w:rPr>
        <w:t>（</w:t>
      </w:r>
      <w:r>
        <w:rPr>
          <w:rFonts w:hint="eastAsia" w:ascii="楷体_GB2312" w:hAnsi="楷体_GB2312" w:eastAsia="楷体_GB2312" w:cs="楷体_GB2312"/>
          <w:spacing w:val="8"/>
          <w:kern w:val="0"/>
          <w:sz w:val="32"/>
          <w:szCs w:val="32"/>
          <w:highlight w:val="none"/>
          <w:lang w:val="en-US" w:eastAsia="zh-CN"/>
        </w:rPr>
        <w:t>四</w:t>
      </w:r>
      <w:r>
        <w:rPr>
          <w:rFonts w:hint="eastAsia" w:ascii="楷体_GB2312" w:hAnsi="楷体_GB2312" w:eastAsia="楷体_GB2312" w:cs="楷体_GB2312"/>
          <w:spacing w:val="8"/>
          <w:kern w:val="0"/>
          <w:sz w:val="32"/>
          <w:szCs w:val="32"/>
          <w:highlight w:val="none"/>
          <w:lang w:eastAsia="zh-CN"/>
        </w:rPr>
        <w:t>）</w:t>
      </w:r>
      <w:r>
        <w:rPr>
          <w:rFonts w:hint="eastAsia" w:ascii="仿宋_GB2312" w:hAnsi="仿宋_GB2312" w:eastAsia="仿宋_GB2312" w:cs="仿宋_GB2312"/>
          <w:b w:val="0"/>
          <w:bCs w:val="0"/>
          <w:color w:val="000000"/>
          <w:sz w:val="32"/>
          <w:szCs w:val="32"/>
          <w:highlight w:val="none"/>
        </w:rPr>
        <w:t>政府信息管理</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严格抓好信息公开源头管理，报文发文均进行公开属性判断。</w:t>
      </w:r>
      <w:r>
        <w:rPr>
          <w:rFonts w:hint="eastAsia" w:ascii="仿宋_GB2312" w:hAnsi="仿宋_GB2312" w:eastAsia="仿宋_GB2312" w:cs="仿宋_GB2312"/>
          <w:sz w:val="32"/>
          <w:szCs w:val="32"/>
          <w:lang w:eastAsia="zh-CN"/>
        </w:rPr>
        <w:t>对已公开的政府信息发生变化时做到</w:t>
      </w:r>
      <w:r>
        <w:rPr>
          <w:rFonts w:hint="eastAsia" w:ascii="仿宋_GB2312" w:hAnsi="仿宋_GB2312" w:eastAsia="仿宋_GB2312" w:cs="仿宋_GB2312"/>
          <w:sz w:val="32"/>
          <w:szCs w:val="32"/>
          <w:lang w:val="en-US" w:eastAsia="zh-CN"/>
        </w:rPr>
        <w:t>及时调整、更新。定期开展全清单修订工作，按要求落实、整改相关任务要点。</w:t>
      </w:r>
    </w:p>
    <w:p>
      <w:pPr>
        <w:keepNext w:val="0"/>
        <w:keepLines w:val="0"/>
        <w:pageBreakBefore w:val="0"/>
        <w:widowControl/>
        <w:numPr>
          <w:ilvl w:val="0"/>
          <w:numId w:val="1"/>
        </w:numPr>
        <w:kinsoku/>
        <w:wordWrap/>
        <w:overflowPunct/>
        <w:topLinePunct w:val="0"/>
        <w:autoSpaceDE/>
        <w:autoSpaceDN/>
        <w:bidi w:val="0"/>
        <w:spacing w:line="560" w:lineRule="exact"/>
        <w:ind w:firstLine="672" w:firstLineChars="200"/>
        <w:jc w:val="both"/>
        <w:textAlignment w:val="auto"/>
        <w:rPr>
          <w:rFonts w:hint="eastAsia" w:ascii="楷体_GB2312" w:hAnsi="楷体_GB2312" w:eastAsia="楷体_GB2312" w:cs="楷体_GB2312"/>
          <w:spacing w:val="8"/>
          <w:kern w:val="0"/>
          <w:sz w:val="32"/>
          <w:szCs w:val="32"/>
          <w:highlight w:val="none"/>
          <w:lang w:eastAsia="zh-CN"/>
        </w:rPr>
      </w:pPr>
      <w:r>
        <w:rPr>
          <w:rFonts w:hint="eastAsia" w:ascii="楷体_GB2312" w:hAnsi="楷体_GB2312" w:eastAsia="楷体_GB2312" w:cs="楷体_GB2312"/>
          <w:spacing w:val="8"/>
          <w:kern w:val="0"/>
          <w:sz w:val="32"/>
          <w:szCs w:val="32"/>
          <w:highlight w:val="none"/>
          <w:lang w:eastAsia="zh-CN"/>
        </w:rPr>
        <w:t>政府信息公开平台建设</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lang w:val="en-US" w:eastAsia="zh-CN"/>
        </w:rPr>
      </w:pPr>
      <w:r>
        <w:rPr>
          <w:rFonts w:hint="eastAsia" w:ascii="仿宋_GB2312" w:hAnsi="仿宋_GB2312" w:eastAsia="仿宋_GB2312" w:cs="仿宋_GB2312"/>
          <w:sz w:val="32"/>
          <w:szCs w:val="32"/>
          <w:lang w:eastAsia="zh-CN"/>
        </w:rPr>
        <w:t>街道充分依托政府网站和政务新媒体平台，做好政府信息公开专栏、街道微信公众号的信息发布、更新等工作，严格落实各项保密审查制度，确保公开信息的准确性、时效性。在微信公众号专栏和政务服务中心及时更新政府公报。</w:t>
      </w:r>
    </w:p>
    <w:p>
      <w:pPr>
        <w:keepNext w:val="0"/>
        <w:keepLines w:val="0"/>
        <w:pageBreakBefore w:val="0"/>
        <w:widowControl/>
        <w:kinsoku/>
        <w:wordWrap/>
        <w:overflowPunct/>
        <w:topLinePunct w:val="0"/>
        <w:autoSpaceDE/>
        <w:autoSpaceDN/>
        <w:bidi w:val="0"/>
        <w:spacing w:line="560" w:lineRule="exact"/>
        <w:ind w:firstLine="672" w:firstLineChars="200"/>
        <w:jc w:val="both"/>
        <w:textAlignment w:val="auto"/>
        <w:rPr>
          <w:rFonts w:hint="eastAsia" w:ascii="楷体_GB2312" w:hAnsi="楷体_GB2312" w:eastAsia="楷体_GB2312" w:cs="楷体_GB2312"/>
          <w:spacing w:val="8"/>
          <w:kern w:val="0"/>
          <w:sz w:val="32"/>
          <w:szCs w:val="32"/>
        </w:rPr>
      </w:pPr>
      <w:r>
        <w:rPr>
          <w:rFonts w:hint="eastAsia" w:ascii="楷体_GB2312" w:hAnsi="楷体_GB2312" w:eastAsia="楷体_GB2312" w:cs="楷体_GB2312"/>
          <w:spacing w:val="8"/>
          <w:kern w:val="0"/>
          <w:sz w:val="32"/>
          <w:szCs w:val="32"/>
          <w:lang w:eastAsia="zh-CN"/>
        </w:rPr>
        <w:t>（六）</w:t>
      </w:r>
      <w:r>
        <w:rPr>
          <w:rFonts w:hint="eastAsia" w:ascii="仿宋_GB2312" w:hAnsi="仿宋_GB2312" w:eastAsia="仿宋_GB2312" w:cs="仿宋_GB2312"/>
          <w:b w:val="0"/>
          <w:bCs w:val="0"/>
          <w:color w:val="000000"/>
          <w:sz w:val="32"/>
          <w:szCs w:val="32"/>
          <w:highlight w:val="none"/>
        </w:rPr>
        <w:t>教育培训</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多次参加区政务服务局召开的交流培训会和线上指导培训，切实提升了街道政务公开水平</w:t>
      </w:r>
      <w:r>
        <w:rPr>
          <w:rFonts w:hint="eastAsia" w:ascii="仿宋_GB2312" w:eastAsia="仿宋_GB2312" w:cs="Times New Roman"/>
          <w:kern w:val="2"/>
          <w:sz w:val="32"/>
          <w:szCs w:val="32"/>
          <w:lang w:val="en-US" w:eastAsia="zh-CN" w:bidi="ar-SA"/>
        </w:rPr>
        <w:t>。</w:t>
      </w:r>
    </w:p>
    <w:p>
      <w:pPr>
        <w:keepNext w:val="0"/>
        <w:keepLines w:val="0"/>
        <w:pageBreakBefore w:val="0"/>
        <w:widowControl/>
        <w:kinsoku/>
        <w:wordWrap/>
        <w:overflowPunct/>
        <w:topLinePunct w:val="0"/>
        <w:autoSpaceDE/>
        <w:autoSpaceDN/>
        <w:bidi w:val="0"/>
        <w:spacing w:line="560" w:lineRule="exact"/>
        <w:ind w:firstLine="672" w:firstLineChars="200"/>
        <w:jc w:val="both"/>
        <w:textAlignment w:val="auto"/>
        <w:rPr>
          <w:rFonts w:hint="eastAsia" w:ascii="楷体_GB2312" w:hAnsi="楷体_GB2312" w:eastAsia="楷体_GB2312" w:cs="楷体_GB2312"/>
          <w:spacing w:val="8"/>
          <w:kern w:val="0"/>
          <w:sz w:val="32"/>
          <w:szCs w:val="32"/>
          <w:highlight w:val="none"/>
        </w:rPr>
      </w:pPr>
      <w:r>
        <w:rPr>
          <w:rFonts w:hint="eastAsia" w:ascii="楷体_GB2312" w:hAnsi="楷体_GB2312" w:eastAsia="楷体_GB2312" w:cs="楷体_GB2312"/>
          <w:spacing w:val="8"/>
          <w:kern w:val="0"/>
          <w:sz w:val="32"/>
          <w:szCs w:val="32"/>
          <w:highlight w:val="none"/>
          <w:lang w:eastAsia="zh-CN"/>
        </w:rPr>
        <w:t>（七）</w:t>
      </w:r>
      <w:r>
        <w:rPr>
          <w:rFonts w:hint="eastAsia" w:ascii="仿宋_GB2312" w:hAnsi="仿宋_GB2312" w:eastAsia="仿宋_GB2312" w:cs="仿宋_GB2312"/>
          <w:b w:val="0"/>
          <w:bCs w:val="0"/>
          <w:color w:val="000000"/>
          <w:sz w:val="32"/>
          <w:szCs w:val="32"/>
          <w:highlight w:val="none"/>
        </w:rPr>
        <w:t>监督保障</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通过政府网站发布咨询服务和投诉监督电话，畅通诉求、监督渠道，通过政务微信公众号留言板等方式广泛听取群众意见，自觉接受群众监督。接到第三方测评</w:t>
      </w:r>
      <w:r>
        <w:rPr>
          <w:rFonts w:hint="eastAsia" w:ascii="仿宋_GB2312" w:hAnsi="仿宋_GB2312" w:eastAsia="仿宋_GB2312" w:cs="仿宋_GB2312"/>
          <w:sz w:val="32"/>
          <w:szCs w:val="32"/>
          <w:lang w:val="en-US" w:eastAsia="zh-CN"/>
        </w:rPr>
        <w:t>1次，对测评报告中指出的问题，认真完成整改落实。</w:t>
      </w:r>
    </w:p>
    <w:p>
      <w:pPr>
        <w:numPr>
          <w:ilvl w:val="0"/>
          <w:numId w:val="2"/>
        </w:num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主动公开政府信息情况</w:t>
      </w:r>
    </w:p>
    <w:p>
      <w:pPr>
        <w:pStyle w:val="4"/>
        <w:rPr>
          <w:rFonts w:hint="eastAsia"/>
        </w:rPr>
      </w:pPr>
    </w:p>
    <w:p>
      <w:pPr>
        <w:pStyle w:val="4"/>
        <w:numPr>
          <w:ilvl w:val="0"/>
          <w:numId w:val="0"/>
        </w:numPr>
        <w:rPr>
          <w:rFonts w:hint="eastAsia"/>
        </w:rPr>
      </w:pPr>
    </w:p>
    <w:tbl>
      <w:tblPr>
        <w:tblStyle w:val="6"/>
        <w:tblW w:w="974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本年制发件数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cs="宋体"/>
                <w:color w:val="000000"/>
                <w:kern w:val="0"/>
                <w:sz w:val="20"/>
                <w:szCs w:val="20"/>
                <w:lang w:val="en-US" w:eastAsia="zh-CN" w:bidi="ar"/>
              </w:rPr>
              <w:t>348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r>
    </w:tbl>
    <w:p>
      <w:pPr>
        <w:pStyle w:val="4"/>
        <w:numPr>
          <w:ilvl w:val="0"/>
          <w:numId w:val="0"/>
        </w:numPr>
        <w:rPr>
          <w:rFonts w:hint="eastAsia"/>
        </w:rPr>
      </w:pPr>
    </w:p>
    <w:p>
      <w:pPr>
        <w:pStyle w:val="4"/>
        <w:numPr>
          <w:ilvl w:val="0"/>
          <w:numId w:val="0"/>
        </w:numPr>
        <w:rPr>
          <w:rFonts w:hint="eastAsia"/>
        </w:rPr>
      </w:pPr>
    </w:p>
    <w:p>
      <w:pPr>
        <w:numPr>
          <w:ilvl w:val="0"/>
          <w:numId w:val="2"/>
        </w:numPr>
        <w:spacing w:line="560" w:lineRule="exact"/>
        <w:ind w:left="0" w:leftChars="0" w:firstLine="640" w:firstLineChars="200"/>
        <w:rPr>
          <w:rFonts w:hint="eastAsia" w:ascii="黑体" w:hAnsi="黑体" w:eastAsia="黑体" w:cs="黑体"/>
          <w:sz w:val="32"/>
          <w:szCs w:val="32"/>
        </w:rPr>
      </w:pPr>
      <w:r>
        <w:rPr>
          <w:rFonts w:hint="eastAsia" w:ascii="黑体" w:hAnsi="黑体" w:eastAsia="黑体" w:cs="黑体"/>
          <w:sz w:val="32"/>
          <w:szCs w:val="32"/>
        </w:rPr>
        <w:t>收到和处理政府信息公开申请情况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hint="eastAsia" w:ascii="宋体" w:hAnsi="宋体" w:eastAsia="宋体" w:cs="宋体"/>
          <w:i w:val="0"/>
          <w:caps w:val="0"/>
          <w:color w:val="333333"/>
          <w:spacing w:val="0"/>
          <w:sz w:val="24"/>
          <w:szCs w:val="24"/>
        </w:rPr>
      </w:pPr>
    </w:p>
    <w:tbl>
      <w:tblPr>
        <w:tblStyle w:val="6"/>
        <w:tblW w:w="9748"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楷体" w:hAnsi="楷体" w:eastAsia="楷体" w:cs="楷体"/>
                <w:kern w:val="0"/>
                <w:sz w:val="20"/>
                <w:szCs w:val="20"/>
                <w:lang w:val="en-US" w:eastAsia="zh-CN"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rPr>
                <w:rFonts w:hint="eastAsia" w:ascii="宋体"/>
                <w:sz w:val="24"/>
                <w:szCs w:val="24"/>
              </w:rPr>
            </w:pPr>
          </w:p>
        </w:tc>
        <w:tc>
          <w:tcPr>
            <w:tcW w:w="688" w:type="dxa"/>
            <w:vMerge w:val="restart"/>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rPr>
                <w:rFonts w:hint="eastAsia" w:ascii="宋体"/>
                <w:sz w:val="24"/>
                <w:szCs w:val="24"/>
              </w:rPr>
            </w:pPr>
          </w:p>
        </w:tc>
        <w:tc>
          <w:tcPr>
            <w:tcW w:w="688" w:type="dxa"/>
            <w:vMerge w:val="continue"/>
            <w:tcBorders>
              <w:top w:val="nil"/>
              <w:left w:val="nil"/>
              <w:bottom w:val="single" w:color="auto" w:sz="8" w:space="0"/>
              <w:right w:val="single" w:color="auto" w:sz="8" w:space="0"/>
            </w:tcBorders>
            <w:shd w:val="clear" w:color="auto" w:fill="9BC2E6"/>
            <w:noWrap w:val="0"/>
            <w:tcMar>
              <w:left w:w="57" w:type="dxa"/>
              <w:right w:w="57" w:type="dxa"/>
            </w:tcMar>
            <w:vAlign w:val="center"/>
          </w:tcPr>
          <w:p>
            <w:pPr>
              <w:rPr>
                <w:rFonts w:hint="eastAsia" w:ascii="宋体"/>
                <w:sz w:val="24"/>
                <w:szCs w:val="24"/>
              </w:rPr>
            </w:pPr>
          </w:p>
        </w:tc>
        <w:tc>
          <w:tcPr>
            <w:tcW w:w="688" w:type="dxa"/>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企业</w:t>
            </w:r>
          </w:p>
        </w:tc>
        <w:tc>
          <w:tcPr>
            <w:tcW w:w="688" w:type="dxa"/>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其他</w:t>
            </w:r>
          </w:p>
        </w:tc>
        <w:tc>
          <w:tcPr>
            <w:tcW w:w="689" w:type="dxa"/>
            <w:vMerge w:val="continue"/>
            <w:tcBorders>
              <w:top w:val="single" w:color="auto" w:sz="8" w:space="0"/>
              <w:left w:val="nil"/>
              <w:bottom w:val="outset" w:color="auto" w:sz="8" w:space="0"/>
              <w:right w:val="single" w:color="auto" w:sz="8" w:space="0"/>
            </w:tcBorders>
            <w:shd w:val="clear" w:color="auto" w:fill="9BC2E6"/>
            <w:noWrap w:val="0"/>
            <w:tcMar>
              <w:left w:w="57" w:type="dxa"/>
              <w:right w:w="57"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3</w:t>
            </w:r>
            <w:r>
              <w:rPr>
                <w:rFonts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3</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PrEx>
        <w:trPr>
          <w:jc w:val="center"/>
        </w:trPr>
        <w:tc>
          <w:tcPr>
            <w:tcW w:w="768" w:type="dxa"/>
            <w:vMerge w:val="restart"/>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三、本年度办理结果</w:t>
            </w: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（二）部分公开</w:t>
            </w:r>
            <w:r>
              <w:rPr>
                <w:rFonts w:hint="default" w:ascii="楷体" w:hAnsi="楷体" w:eastAsia="楷体" w:cs="楷体"/>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（三）不予公开</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（四）无法提供</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（五）不予处理</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（六）其他处理</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both"/>
              <w:rPr>
                <w:rFonts w:hint="eastAsia"/>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210" w:firstLineChars="100"/>
              <w:jc w:val="both"/>
              <w:rPr>
                <w:rFonts w:hint="eastAsia" w:eastAsia="宋体"/>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2</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2</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3</w:t>
            </w:r>
            <w:r>
              <w:rPr>
                <w:rFonts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3</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688" w:type="dxa"/>
            <w:tcBorders>
              <w:top w:val="outset" w:color="auto" w:sz="6" w:space="0"/>
              <w:left w:val="nil"/>
              <w:bottom w:val="outset" w:color="auto" w:sz="6" w:space="0"/>
              <w:right w:val="outset" w:color="auto" w:sz="6"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sz w:val="24"/>
                <w:szCs w:val="24"/>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outset" w:color="auto" w:sz="6" w:space="0"/>
              <w:left w:val="nil"/>
              <w:bottom w:val="outset" w:color="auto" w:sz="6" w:space="0"/>
              <w:right w:val="outset" w:color="auto" w:sz="6"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sz w:val="24"/>
                <w:szCs w:val="24"/>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outset" w:color="auto" w:sz="6" w:space="0"/>
              <w:left w:val="nil"/>
              <w:bottom w:val="outset" w:color="auto" w:sz="6" w:space="0"/>
              <w:right w:val="outset" w:color="auto" w:sz="6"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sz w:val="24"/>
                <w:szCs w:val="24"/>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outset" w:color="auto" w:sz="6" w:space="0"/>
              <w:left w:val="nil"/>
              <w:bottom w:val="outset" w:color="auto" w:sz="6" w:space="0"/>
              <w:right w:val="outset" w:color="auto" w:sz="6"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sz w:val="24"/>
                <w:szCs w:val="24"/>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outset" w:color="auto" w:sz="6" w:space="0"/>
              <w:left w:val="nil"/>
              <w:bottom w:val="outset" w:color="auto" w:sz="6" w:space="0"/>
              <w:right w:val="outset" w:color="auto" w:sz="6"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sz w:val="24"/>
                <w:szCs w:val="24"/>
              </w:rP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outset" w:color="auto" w:sz="6" w:space="0"/>
              <w:left w:val="nil"/>
              <w:bottom w:val="outset" w:color="auto" w:sz="6" w:space="0"/>
              <w:right w:val="outset" w:color="auto" w:sz="6"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sz w:val="24"/>
                <w:szCs w:val="24"/>
              </w:rP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outset" w:color="auto" w:sz="6" w:space="0"/>
              <w:left w:val="nil"/>
              <w:bottom w:val="outset" w:color="auto" w:sz="6" w:space="0"/>
              <w:right w:val="outset" w:color="auto" w:sz="6"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both"/>
              <w:rPr>
                <w:rFonts w:hint="eastAsia"/>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210" w:firstLineChars="100"/>
              <w:jc w:val="both"/>
              <w:rPr>
                <w:rFonts w:hint="eastAsia" w:ascii="宋体"/>
                <w:sz w:val="24"/>
                <w:szCs w:val="24"/>
              </w:rPr>
            </w:pPr>
            <w:r>
              <w:rPr>
                <w:rFonts w:hint="eastAsia"/>
                <w:lang w:val="en-US" w:eastAsia="zh-CN"/>
              </w:rPr>
              <w:t>0</w:t>
            </w:r>
          </w:p>
        </w:tc>
      </w:tr>
    </w:tbl>
    <w:p>
      <w:pPr>
        <w:pStyle w:val="4"/>
        <w:numPr>
          <w:ilvl w:val="0"/>
          <w:numId w:val="0"/>
        </w:numPr>
        <w:ind w:leftChars="200"/>
        <w:rPr>
          <w:rFonts w:hint="eastAsia"/>
        </w:rPr>
      </w:pPr>
    </w:p>
    <w:p>
      <w:pPr>
        <w:pStyle w:val="4"/>
        <w:numPr>
          <w:ilvl w:val="0"/>
          <w:numId w:val="0"/>
        </w:numPr>
        <w:ind w:leftChars="200"/>
        <w:rPr>
          <w:rFonts w:hint="eastAsia"/>
        </w:rPr>
      </w:pP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bl>
      <w:tblPr>
        <w:tblStyle w:val="6"/>
        <w:tblW w:w="9748"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7" w:hRule="atLeast"/>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82" w:hRule="atLeast"/>
          <w:jc w:val="center"/>
        </w:trPr>
        <w:tc>
          <w:tcPr>
            <w:tcW w:w="649"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14" w:hRule="atLeast"/>
          <w:jc w:val="center"/>
        </w:trPr>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r>
              <w:rPr>
                <w:rFonts w:ascii="黑体" w:hAnsi="宋体" w:eastAsia="黑体" w:cs="黑体"/>
                <w:kern w:val="0"/>
                <w:sz w:val="20"/>
                <w:szCs w:val="20"/>
                <w:lang w:val="en-US" w:eastAsia="zh-CN" w:bidi="ar"/>
              </w:rPr>
              <w:t> </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r>
              <w:rPr>
                <w:rFonts w:hint="default" w:ascii="黑体" w:hAnsi="宋体" w:eastAsia="黑体" w:cs="黑体"/>
                <w:kern w:val="0"/>
                <w:sz w:val="20"/>
                <w:szCs w:val="20"/>
                <w:lang w:val="en-US" w:eastAsia="zh-CN" w:bidi="ar"/>
              </w:rPr>
              <w:t> </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r>
              <w:rPr>
                <w:rFonts w:hint="default" w:ascii="黑体" w:hAnsi="宋体" w:eastAsia="黑体" w:cs="黑体"/>
                <w:kern w:val="0"/>
                <w:sz w:val="20"/>
                <w:szCs w:val="20"/>
                <w:lang w:val="en-US" w:eastAsia="zh-CN" w:bidi="ar"/>
              </w:rPr>
              <w:t> </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r>
              <w:rPr>
                <w:rFonts w:hint="default" w:ascii="黑体" w:hAnsi="宋体" w:eastAsia="黑体" w:cs="黑体"/>
                <w:kern w:val="0"/>
                <w:sz w:val="20"/>
                <w:szCs w:val="20"/>
                <w:lang w:val="en-US" w:eastAsia="zh-CN" w:bidi="ar"/>
              </w:rPr>
              <w:t> </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r>
              <w:rPr>
                <w:rFonts w:hint="default" w:ascii="黑体" w:hAnsi="宋体" w:eastAsia="黑体" w:cs="黑体"/>
                <w:kern w:val="0"/>
                <w:sz w:val="20"/>
                <w:szCs w:val="20"/>
                <w:lang w:val="en-US" w:eastAsia="zh-CN" w:bidi="ar"/>
              </w:rPr>
              <w:t> </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r>
              <w:rPr>
                <w:rFonts w:hint="default" w:ascii="黑体" w:hAnsi="宋体" w:eastAsia="黑体" w:cs="黑体"/>
                <w:kern w:val="0"/>
                <w:sz w:val="20"/>
                <w:szCs w:val="20"/>
                <w:lang w:val="en-US" w:eastAsia="zh-CN" w:bidi="ar"/>
              </w:rPr>
              <w:t> </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r>
              <w:rPr>
                <w:rFonts w:hint="default" w:ascii="黑体" w:hAnsi="宋体" w:eastAsia="黑体" w:cs="黑体"/>
                <w:kern w:val="0"/>
                <w:sz w:val="20"/>
                <w:szCs w:val="20"/>
                <w:lang w:val="en-US" w:eastAsia="zh-CN" w:bidi="ar"/>
              </w:rPr>
              <w:t> </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r>
              <w:rPr>
                <w:rFonts w:hint="default" w:ascii="黑体" w:hAnsi="宋体" w:eastAsia="黑体" w:cs="黑体"/>
                <w:kern w:val="0"/>
                <w:sz w:val="20"/>
                <w:szCs w:val="20"/>
                <w:lang w:val="en-US" w:eastAsia="zh-CN" w:bidi="ar"/>
              </w:rPr>
              <w:t> </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eastAsia="宋体"/>
                <w:sz w:val="24"/>
                <w:szCs w:val="24"/>
                <w:lang w:val="en-US" w:eastAsia="zh-CN"/>
              </w:rPr>
            </w:pPr>
            <w:r>
              <w:rPr>
                <w:rFonts w:hint="eastAsia" w:ascii="宋体"/>
                <w:sz w:val="24"/>
                <w:szCs w:val="24"/>
                <w:lang w:val="en-US" w:eastAsia="zh-CN"/>
              </w:rPr>
              <w:t>0</w:t>
            </w:r>
          </w:p>
        </w:tc>
      </w:tr>
    </w:tbl>
    <w:p>
      <w:pPr>
        <w:keepNext w:val="0"/>
        <w:keepLines w:val="0"/>
        <w:widowControl/>
        <w:suppressLineNumbers w:val="0"/>
        <w:jc w:val="left"/>
      </w:pPr>
    </w:p>
    <w:p>
      <w:pPr>
        <w:widowControl/>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五、存在的主要问题及改进情况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2022年，街道严格按照《条例》要求开展了政府信息公开工作。虽然主动公开数量上有较大进步，但仍存在着一些不足:一是政务公开的内容深度和形式多样性上有待加强。二是在依申请公开文件制作和答复口径上需要提高专业性。改进情况：一是围绕街道工作中的重大改革、重要举措、重点项目等重点工作，持续提高主动公开的质量，强化政府信息公开便民利民导向；二是进一步加强与政务服务局沟通，在依申请公开案件回复上切实提高公开信息的质量和水平。</w:t>
      </w:r>
    </w:p>
    <w:p>
      <w:pPr>
        <w:widowControl/>
        <w:spacing w:line="560" w:lineRule="exact"/>
        <w:ind w:firstLine="675"/>
        <w:jc w:val="left"/>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pPr>
        <w:widowControl/>
        <w:spacing w:line="560" w:lineRule="exact"/>
        <w:jc w:val="left"/>
        <w:rPr>
          <w:rFonts w:hint="eastAsia" w:ascii="仿宋_GB2312" w:hAnsi="仿宋_GB2312" w:eastAsia="仿宋_GB2312" w:cs="仿宋_GB2312"/>
          <w:sz w:val="32"/>
          <w:szCs w:val="32"/>
          <w:highlight w:val="none"/>
          <w:lang w:val="en-US" w:eastAsia="zh-CN"/>
        </w:rPr>
      </w:pPr>
      <w:r>
        <w:rPr>
          <w:rFonts w:ascii="宋体" w:hAnsi="宋体" w:cs="宋体"/>
          <w:spacing w:val="8"/>
          <w:kern w:val="0"/>
          <w:sz w:val="32"/>
          <w:szCs w:val="32"/>
        </w:rPr>
        <w:t>　</w:t>
      </w:r>
      <w:r>
        <w:rPr>
          <w:rFonts w:hint="eastAsia" w:ascii="仿宋_GB2312" w:hAnsi="仿宋_GB2312" w:eastAsia="仿宋_GB2312" w:cs="仿宋_GB2312"/>
          <w:sz w:val="32"/>
          <w:szCs w:val="32"/>
          <w:highlight w:val="none"/>
          <w:lang w:val="en-US" w:eastAsia="zh-CN"/>
        </w:rPr>
        <w:t>　我单位本年度发出收费通知的件数和总金额以及实际收取的总金额均为0。</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93BB5B7"/>
    <w:multiLevelType w:val="singleLevel"/>
    <w:tmpl w:val="D93BB5B7"/>
    <w:lvl w:ilvl="0" w:tentative="0">
      <w:start w:val="5"/>
      <w:numFmt w:val="chineseCounting"/>
      <w:suff w:val="nothing"/>
      <w:lvlText w:val="（%1）"/>
      <w:lvlJc w:val="left"/>
      <w:rPr>
        <w:rFonts w:hint="eastAsia"/>
      </w:rPr>
    </w:lvl>
  </w:abstractNum>
  <w:abstractNum w:abstractNumId="1">
    <w:nsid w:val="F8FBF937"/>
    <w:multiLevelType w:val="singleLevel"/>
    <w:tmpl w:val="F8FBF93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A82334"/>
    <w:rsid w:val="0632693C"/>
    <w:rsid w:val="150F00E3"/>
    <w:rsid w:val="15F43768"/>
    <w:rsid w:val="1B716DCA"/>
    <w:rsid w:val="20BB7CB9"/>
    <w:rsid w:val="2B0C71AE"/>
    <w:rsid w:val="2CB152D4"/>
    <w:rsid w:val="32D35742"/>
    <w:rsid w:val="60F9599E"/>
    <w:rsid w:val="64D51D19"/>
    <w:rsid w:val="67814A5D"/>
    <w:rsid w:val="69876657"/>
    <w:rsid w:val="7C060391"/>
    <w:rsid w:val="7DA823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3">
    <w:name w:val="annotation text"/>
    <w:basedOn w:val="1"/>
    <w:qFormat/>
    <w:uiPriority w:val="0"/>
    <w:pPr>
      <w:jc w:val="left"/>
    </w:pPr>
  </w:style>
  <w:style w:type="paragraph" w:styleId="4">
    <w:name w:val="Plain Text"/>
    <w:basedOn w:val="1"/>
    <w:qFormat/>
    <w:uiPriority w:val="0"/>
    <w:rPr>
      <w:rFonts w:ascii="宋体" w:hAnsi="Courier New"/>
    </w:rPr>
  </w:style>
  <w:style w:type="paragraph" w:styleId="5">
    <w:name w:val="Normal (Web)"/>
    <w:basedOn w:val="1"/>
    <w:unhideWhenUsed/>
    <w:qFormat/>
    <w:uiPriority w:val="99"/>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31</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2023-01-04T09:37:00Z</dcterms:created>
  <dc:creator>lenovo</dc:creator>
  <cp:lastModifiedBy>shen</cp:lastModifiedBy>
  <dcterms:modified xsi:type="dcterms:W3CDTF">2023-01-13T06:50:27Z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