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560" w:lineRule="exact"/>
        <w:jc w:val="both"/>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北京市大兴区人民政府</w:t>
      </w:r>
    </w:p>
    <w:p>
      <w:pPr>
        <w:keepNext w:val="0"/>
        <w:keepLines w:val="0"/>
        <w:pageBreakBefore w:val="0"/>
        <w:kinsoku/>
        <w:wordWrap/>
        <w:overflowPunct/>
        <w:topLinePunct w:val="0"/>
        <w:autoSpaceDE/>
        <w:autoSpaceDN/>
        <w:bidi w:val="0"/>
        <w:spacing w:line="560" w:lineRule="exact"/>
        <w:jc w:val="center"/>
        <w:textAlignment w:val="auto"/>
        <w:rPr>
          <w:rFonts w:hint="eastAsia" w:ascii="仿宋_GB2312" w:hAnsi="仿宋_GB2312" w:eastAsia="仿宋_GB2312" w:cs="仿宋_GB2312"/>
          <w:sz w:val="32"/>
          <w:szCs w:val="32"/>
          <w:lang w:eastAsia="zh-CN"/>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2</w:t>
      </w:r>
      <w:r>
        <w:rPr>
          <w:rFonts w:hint="eastAsia" w:ascii="方正小标宋简体" w:hAnsi="方正小标宋简体" w:eastAsia="方正小标宋简体" w:cs="方正小标宋简体"/>
          <w:sz w:val="44"/>
          <w:szCs w:val="44"/>
        </w:rPr>
        <w:t>年政府信息公开工作年度报告</w:t>
      </w:r>
    </w:p>
    <w:p>
      <w:pPr>
        <w:keepNext w:val="0"/>
        <w:keepLines w:val="0"/>
        <w:pageBreakBefore w:val="0"/>
        <w:widowControl/>
        <w:kinsoku/>
        <w:wordWrap/>
        <w:overflowPunct/>
        <w:topLinePunct w:val="0"/>
        <w:autoSpaceDE/>
        <w:autoSpaceDN/>
        <w:bidi w:val="0"/>
        <w:adjustRightInd/>
        <w:snapToGrid/>
        <w:spacing w:line="560" w:lineRule="exact"/>
        <w:ind w:firstLine="672" w:firstLineChars="200"/>
        <w:jc w:val="left"/>
        <w:textAlignment w:val="auto"/>
        <w:rPr>
          <w:rFonts w:hint="eastAsia" w:ascii="仿宋_GB2312" w:hAnsi="宋体" w:eastAsia="仿宋_GB2312" w:cs="宋体"/>
          <w:spacing w:val="8"/>
          <w:kern w:val="0"/>
          <w:sz w:val="32"/>
          <w:szCs w:val="32"/>
        </w:rPr>
      </w:pPr>
    </w:p>
    <w:p>
      <w:pPr>
        <w:keepNext w:val="0"/>
        <w:keepLines w:val="0"/>
        <w:pageBreakBefore w:val="0"/>
        <w:widowControl/>
        <w:kinsoku/>
        <w:wordWrap/>
        <w:overflowPunct/>
        <w:topLinePunct w:val="0"/>
        <w:autoSpaceDE/>
        <w:autoSpaceDN/>
        <w:bidi w:val="0"/>
        <w:adjustRightInd/>
        <w:snapToGrid/>
        <w:spacing w:line="560" w:lineRule="exact"/>
        <w:ind w:firstLine="672" w:firstLineChars="200"/>
        <w:jc w:val="left"/>
        <w:textAlignment w:val="auto"/>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依据《中华人民共和国政府信息公开条例》(以下简称《政府信息公开条例》)第五十条规定，编制本报告。</w:t>
      </w:r>
    </w:p>
    <w:p>
      <w:pPr>
        <w:keepNext w:val="0"/>
        <w:keepLines w:val="0"/>
        <w:pageBreakBefore w:val="0"/>
        <w:widowControl/>
        <w:kinsoku/>
        <w:wordWrap/>
        <w:overflowPunct/>
        <w:topLinePunct w:val="0"/>
        <w:autoSpaceDE/>
        <w:autoSpaceDN/>
        <w:bidi w:val="0"/>
        <w:spacing w:line="560" w:lineRule="exact"/>
        <w:ind w:firstLine="672" w:firstLineChars="200"/>
        <w:jc w:val="left"/>
        <w:textAlignment w:val="auto"/>
        <w:rPr>
          <w:rFonts w:ascii="黑体" w:hAnsi="黑体" w:eastAsia="黑体" w:cs="宋体"/>
          <w:spacing w:val="8"/>
          <w:kern w:val="0"/>
          <w:sz w:val="32"/>
          <w:szCs w:val="32"/>
        </w:rPr>
      </w:pPr>
      <w:r>
        <w:rPr>
          <w:rFonts w:ascii="黑体" w:hAnsi="黑体" w:eastAsia="黑体" w:cs="宋体"/>
          <w:spacing w:val="8"/>
          <w:kern w:val="0"/>
          <w:sz w:val="32"/>
          <w:szCs w:val="32"/>
        </w:rPr>
        <w:t>一、总体情况</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60" w:lineRule="exact"/>
        <w:ind w:left="0" w:right="0"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（一）组织领导建设情况。</w:t>
      </w:r>
      <w:r>
        <w:rPr>
          <w:rFonts w:hint="eastAsia" w:ascii="仿宋_GB2312" w:eastAsia="仿宋_GB2312" w:cs="Arial"/>
          <w:sz w:val="32"/>
          <w:szCs w:val="32"/>
          <w:lang w:val="en-US" w:eastAsia="zh-CN"/>
        </w:rPr>
        <w:t>坚持以习近平新时代中国特色社会主义思想为指导，严格落实《</w:t>
      </w:r>
      <w:r>
        <w:rPr>
          <w:rFonts w:hint="eastAsia" w:ascii="仿宋_GB2312" w:hAnsi="宋体" w:eastAsia="仿宋_GB2312" w:cs="宋体"/>
          <w:spacing w:val="8"/>
          <w:kern w:val="0"/>
          <w:sz w:val="32"/>
          <w:szCs w:val="32"/>
        </w:rPr>
        <w:t>政府信息公开</w:t>
      </w:r>
      <w:r>
        <w:rPr>
          <w:rFonts w:hint="eastAsia" w:ascii="仿宋_GB2312" w:eastAsia="仿宋_GB2312" w:cs="Arial"/>
          <w:sz w:val="32"/>
          <w:szCs w:val="32"/>
          <w:lang w:val="en-US" w:eastAsia="zh-CN"/>
        </w:rPr>
        <w:t>条例》要求，全面加强政府信息公开工作的组织领导建设，调整政务公开领导小组成员，将城市管理指挥中心等单位列入成员单位，调出地震局，完善</w:t>
      </w:r>
      <w:r>
        <w:rPr>
          <w:rFonts w:hint="eastAsia" w:ascii="仿宋_GB2312" w:hAnsi="仿宋_GB2312" w:eastAsia="仿宋_GB2312" w:cs="仿宋_GB2312"/>
          <w:sz w:val="32"/>
          <w:szCs w:val="32"/>
          <w:lang w:val="en-US" w:eastAsia="zh-CN"/>
        </w:rPr>
        <w:t>了政务公开领导小组办公室职能。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楷体" w:hAnsi="楷体" w:eastAsia="楷体" w:cs="楷体"/>
          <w:sz w:val="32"/>
          <w:szCs w:val="32"/>
          <w:lang w:val="en-US" w:eastAsia="zh-CN"/>
        </w:rPr>
        <w:t>（二）主动公开情况。</w:t>
      </w:r>
      <w:r>
        <w:rPr>
          <w:rFonts w:hint="eastAsia" w:ascii="仿宋_GB2312" w:eastAsia="仿宋_GB2312" w:cs="Arial"/>
          <w:sz w:val="32"/>
          <w:szCs w:val="32"/>
          <w:lang w:val="en-US" w:eastAsia="zh-CN"/>
        </w:rPr>
        <w:t>以全面、创新、服务为理念做好政府信息公开工作。一是制发年度《政务公开工作要点》，明确工作任务，推动工作落实。全年主动公开重点领域政府信息17600条，同比增长7.9%。</w:t>
      </w:r>
      <w:r>
        <w:rPr>
          <w:rFonts w:hint="eastAsia" w:ascii="仿宋_GB2312" w:hAnsi="仿宋_GB2312" w:eastAsia="仿宋_GB2312" w:cs="仿宋_GB2312"/>
          <w:b w:val="0"/>
          <w:bCs w:val="0"/>
          <w:sz w:val="32"/>
          <w:szCs w:val="32"/>
          <w:highlight w:val="none"/>
          <w:lang w:val="en-US" w:eastAsia="zh-CN"/>
        </w:rPr>
        <w:t>二</w:t>
      </w:r>
      <w:r>
        <w:rPr>
          <w:rFonts w:hint="eastAsia" w:ascii="Arial" w:hAnsi="Arial" w:eastAsia="仿宋_GB2312" w:cs="Arial"/>
          <w:b w:val="0"/>
          <w:bCs w:val="0"/>
          <w:sz w:val="32"/>
          <w:szCs w:val="32"/>
          <w:lang w:val="en-US" w:eastAsia="zh-CN"/>
        </w:rPr>
        <w:t>是</w:t>
      </w:r>
      <w:r>
        <w:rPr>
          <w:rFonts w:hint="eastAsia" w:ascii="仿宋_GB2312" w:hAnsi="仿宋_GB2312" w:eastAsia="仿宋_GB2312" w:cs="仿宋_GB2312"/>
          <w:b w:val="0"/>
          <w:bCs w:val="0"/>
          <w:sz w:val="32"/>
          <w:szCs w:val="32"/>
          <w:lang w:val="en-US" w:eastAsia="zh-CN"/>
        </w:rPr>
        <w:t>丰富政策解读形式</w:t>
      </w:r>
      <w:r>
        <w:rPr>
          <w:rFonts w:hint="eastAsia" w:ascii="Arial" w:hAnsi="Arial" w:eastAsia="仿宋_GB2312" w:cs="Arial"/>
          <w:b w:val="0"/>
          <w:bCs w:val="0"/>
          <w:sz w:val="32"/>
          <w:szCs w:val="32"/>
          <w:lang w:val="en-US" w:eastAsia="zh-CN"/>
        </w:rPr>
        <w:t>，政策性文件同步配发问答、“一图读懂”、音视频、动漫</w:t>
      </w:r>
      <w:r>
        <w:rPr>
          <w:rFonts w:hint="eastAsia" w:ascii="仿宋_GB2312" w:hAnsi="仿宋_GB2312" w:eastAsia="仿宋_GB2312" w:cs="仿宋_GB2312"/>
          <w:b w:val="0"/>
          <w:bCs w:val="0"/>
          <w:color w:val="auto"/>
          <w:sz w:val="32"/>
          <w:szCs w:val="32"/>
          <w:highlight w:val="none"/>
          <w:lang w:val="en-US" w:eastAsia="zh-CN"/>
        </w:rPr>
        <w:t>等简明易懂的解读文件，杜绝简单重复原文等问题，全年发布解读文件43份。三是区政府信息公开平台开设“政策公开讲”</w:t>
      </w:r>
      <w:r>
        <w:rPr>
          <w:rFonts w:hint="eastAsia" w:ascii="仿宋_GB2312" w:hAnsi="仿宋_GB2312" w:eastAsia="仿宋_GB2312" w:cs="仿宋_GB2312"/>
          <w:bCs/>
          <w:color w:val="auto"/>
          <w:sz w:val="32"/>
          <w:szCs w:val="32"/>
          <w:highlight w:val="none"/>
          <w:lang w:val="en-US" w:eastAsia="zh-CN"/>
        </w:rPr>
        <w:t>“兴企之声”“营商有料儿”等</w:t>
      </w:r>
      <w:r>
        <w:rPr>
          <w:rFonts w:hint="eastAsia" w:ascii="仿宋_GB2312" w:hAnsi="仿宋_GB2312" w:eastAsia="仿宋_GB2312" w:cs="仿宋_GB2312"/>
          <w:b w:val="0"/>
          <w:bCs w:val="0"/>
          <w:color w:val="auto"/>
          <w:sz w:val="32"/>
          <w:szCs w:val="32"/>
          <w:highlight w:val="none"/>
          <w:lang w:val="en-US" w:eastAsia="zh-CN"/>
        </w:rPr>
        <w:t>栏目开展政策宣传，扩大政策普及率、知晓度。</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left="0" w:leftChars="0" w:right="0" w:rightChars="0" w:firstLine="640" w:firstLineChars="200"/>
        <w:jc w:val="both"/>
        <w:textAlignment w:val="auto"/>
        <w:rPr>
          <w:rFonts w:hint="eastAsia" w:ascii="仿宋_GB2312" w:hAnsi="宋体" w:eastAsia="仿宋_GB2312" w:cs="宋体"/>
          <w:color w:val="auto"/>
          <w:spacing w:val="8"/>
          <w:kern w:val="0"/>
          <w:sz w:val="32"/>
          <w:szCs w:val="32"/>
          <w:highlight w:val="none"/>
          <w:shd w:val="clear" w:color="auto" w:fill="auto"/>
        </w:rPr>
      </w:pPr>
      <w:r>
        <w:rPr>
          <w:rFonts w:hint="eastAsia" w:ascii="楷体" w:hAnsi="楷体" w:eastAsia="楷体" w:cs="楷体"/>
          <w:b w:val="0"/>
          <w:bCs w:val="0"/>
          <w:sz w:val="32"/>
          <w:szCs w:val="32"/>
          <w:lang w:val="en-US" w:eastAsia="zh-CN"/>
        </w:rPr>
        <w:t>（三）依申请公开办理情况。</w:t>
      </w:r>
      <w:r>
        <w:rPr>
          <w:rFonts w:hint="eastAsia" w:ascii="仿宋_GB2312" w:hAnsi="仿宋_GB2312" w:eastAsia="仿宋_GB2312" w:cs="仿宋_GB2312"/>
          <w:b w:val="0"/>
          <w:bCs w:val="0"/>
          <w:color w:val="auto"/>
          <w:sz w:val="32"/>
          <w:szCs w:val="32"/>
          <w:lang w:val="en-US" w:eastAsia="zh-CN"/>
        </w:rPr>
        <w:t>创新依申请公开业务交流方式，全年共开展</w:t>
      </w:r>
      <w:r>
        <w:rPr>
          <w:rFonts w:hint="eastAsia" w:ascii="仿宋_GB2312" w:hAnsi="仿宋_GB2312" w:eastAsia="仿宋_GB2312" w:cs="仿宋_GB2312"/>
          <w:b w:val="0"/>
          <w:bCs w:val="0"/>
          <w:color w:val="auto"/>
          <w:sz w:val="32"/>
          <w:szCs w:val="32"/>
          <w:lang w:eastAsia="zh-CN"/>
        </w:rPr>
        <w:t>经验交流会</w:t>
      </w:r>
      <w:r>
        <w:rPr>
          <w:rFonts w:hint="eastAsia" w:ascii="仿宋_GB2312" w:hAnsi="仿宋_GB2312" w:eastAsia="仿宋_GB2312" w:cs="仿宋_GB2312"/>
          <w:b w:val="0"/>
          <w:bCs w:val="0"/>
          <w:color w:val="auto"/>
          <w:sz w:val="32"/>
          <w:szCs w:val="32"/>
          <w:lang w:val="en-US" w:eastAsia="zh-CN"/>
        </w:rPr>
        <w:t>15次</w:t>
      </w:r>
      <w:r>
        <w:rPr>
          <w:rFonts w:hint="eastAsia" w:ascii="仿宋_GB2312" w:hAnsi="仿宋_GB2312" w:eastAsia="仿宋_GB2312" w:cs="仿宋_GB2312"/>
          <w:b w:val="0"/>
          <w:bCs w:val="0"/>
          <w:color w:val="auto"/>
          <w:sz w:val="32"/>
          <w:szCs w:val="32"/>
          <w:lang w:eastAsia="zh-CN"/>
        </w:rPr>
        <w:t>，提升了全区依申请办理的规范化水平。</w:t>
      </w:r>
      <w:r>
        <w:rPr>
          <w:rFonts w:hint="eastAsia" w:ascii="仿宋_GB2312" w:hAnsi="宋体" w:eastAsia="仿宋_GB2312" w:cs="宋体"/>
          <w:color w:val="auto"/>
          <w:spacing w:val="8"/>
          <w:kern w:val="0"/>
          <w:sz w:val="32"/>
          <w:szCs w:val="32"/>
          <w:highlight w:val="none"/>
          <w:shd w:val="clear" w:color="auto" w:fill="auto"/>
        </w:rPr>
        <w:t>20</w:t>
      </w:r>
      <w:r>
        <w:rPr>
          <w:rFonts w:hint="eastAsia" w:ascii="仿宋_GB2312" w:hAnsi="宋体" w:eastAsia="仿宋_GB2312" w:cs="宋体"/>
          <w:color w:val="auto"/>
          <w:spacing w:val="8"/>
          <w:kern w:val="0"/>
          <w:sz w:val="32"/>
          <w:szCs w:val="32"/>
          <w:highlight w:val="none"/>
          <w:shd w:val="clear" w:color="auto" w:fill="auto"/>
          <w:lang w:val="en-US" w:eastAsia="zh-CN"/>
        </w:rPr>
        <w:t>22</w:t>
      </w:r>
      <w:r>
        <w:rPr>
          <w:rFonts w:hint="eastAsia" w:ascii="仿宋_GB2312" w:hAnsi="宋体" w:eastAsia="仿宋_GB2312" w:cs="宋体"/>
          <w:color w:val="auto"/>
          <w:spacing w:val="8"/>
          <w:kern w:val="0"/>
          <w:sz w:val="32"/>
          <w:szCs w:val="32"/>
          <w:highlight w:val="none"/>
          <w:shd w:val="clear" w:color="auto" w:fill="auto"/>
        </w:rPr>
        <w:t>年，</w:t>
      </w:r>
      <w:r>
        <w:rPr>
          <w:rFonts w:hint="eastAsia" w:ascii="仿宋_GB2312" w:hAnsi="宋体" w:eastAsia="仿宋_GB2312" w:cs="宋体"/>
          <w:color w:val="auto"/>
          <w:spacing w:val="8"/>
          <w:kern w:val="0"/>
          <w:sz w:val="32"/>
          <w:szCs w:val="32"/>
          <w:highlight w:val="none"/>
          <w:shd w:val="clear" w:color="auto" w:fill="auto"/>
          <w:lang w:eastAsia="zh-CN"/>
        </w:rPr>
        <w:t>共</w:t>
      </w:r>
      <w:r>
        <w:rPr>
          <w:rFonts w:hint="eastAsia" w:ascii="仿宋_GB2312" w:hAnsi="宋体" w:eastAsia="仿宋_GB2312" w:cs="宋体"/>
          <w:color w:val="auto"/>
          <w:spacing w:val="8"/>
          <w:kern w:val="0"/>
          <w:sz w:val="32"/>
          <w:szCs w:val="32"/>
          <w:highlight w:val="none"/>
          <w:shd w:val="clear" w:color="auto" w:fill="auto"/>
          <w:lang w:val="en-US" w:eastAsia="zh-CN"/>
        </w:rPr>
        <w:t>新</w:t>
      </w:r>
      <w:r>
        <w:rPr>
          <w:rFonts w:hint="eastAsia" w:ascii="仿宋_GB2312" w:hAnsi="宋体" w:eastAsia="仿宋_GB2312" w:cs="宋体"/>
          <w:color w:val="auto"/>
          <w:spacing w:val="8"/>
          <w:kern w:val="0"/>
          <w:sz w:val="32"/>
          <w:szCs w:val="32"/>
          <w:highlight w:val="none"/>
          <w:shd w:val="clear" w:color="auto" w:fill="auto"/>
        </w:rPr>
        <w:t>受理依申请</w:t>
      </w:r>
      <w:r>
        <w:rPr>
          <w:rFonts w:hint="eastAsia" w:ascii="仿宋_GB2312" w:hAnsi="宋体" w:eastAsia="仿宋_GB2312" w:cs="宋体"/>
          <w:color w:val="auto"/>
          <w:spacing w:val="8"/>
          <w:kern w:val="0"/>
          <w:sz w:val="32"/>
          <w:szCs w:val="32"/>
          <w:highlight w:val="none"/>
          <w:shd w:val="clear" w:color="auto" w:fill="auto"/>
          <w:lang w:val="en-US" w:eastAsia="zh-CN"/>
        </w:rPr>
        <w:t>837</w:t>
      </w:r>
      <w:r>
        <w:rPr>
          <w:rFonts w:hint="eastAsia" w:ascii="仿宋_GB2312" w:hAnsi="宋体" w:eastAsia="仿宋_GB2312" w:cs="宋体"/>
          <w:color w:val="auto"/>
          <w:spacing w:val="8"/>
          <w:kern w:val="0"/>
          <w:sz w:val="32"/>
          <w:szCs w:val="32"/>
          <w:highlight w:val="none"/>
          <w:shd w:val="clear" w:color="auto" w:fill="auto"/>
        </w:rPr>
        <w:t>件，上年结转</w:t>
      </w:r>
      <w:r>
        <w:rPr>
          <w:rFonts w:hint="eastAsia" w:ascii="仿宋_GB2312" w:hAnsi="宋体" w:eastAsia="仿宋_GB2312" w:cs="宋体"/>
          <w:color w:val="auto"/>
          <w:spacing w:val="8"/>
          <w:kern w:val="0"/>
          <w:sz w:val="32"/>
          <w:szCs w:val="32"/>
          <w:highlight w:val="none"/>
          <w:shd w:val="clear" w:color="auto" w:fill="auto"/>
          <w:lang w:val="en-US" w:eastAsia="zh-CN"/>
        </w:rPr>
        <w:t>41</w:t>
      </w:r>
      <w:r>
        <w:rPr>
          <w:rFonts w:hint="eastAsia" w:ascii="仿宋_GB2312" w:hAnsi="宋体" w:eastAsia="仿宋_GB2312" w:cs="宋体"/>
          <w:color w:val="auto"/>
          <w:spacing w:val="8"/>
          <w:kern w:val="0"/>
          <w:sz w:val="32"/>
          <w:szCs w:val="32"/>
          <w:highlight w:val="none"/>
          <w:shd w:val="clear" w:color="auto" w:fill="auto"/>
        </w:rPr>
        <w:t>件</w:t>
      </w:r>
      <w:r>
        <w:rPr>
          <w:rFonts w:hint="eastAsia" w:ascii="仿宋_GB2312" w:hAnsi="宋体" w:eastAsia="仿宋_GB2312" w:cs="宋体"/>
          <w:color w:val="auto"/>
          <w:spacing w:val="8"/>
          <w:kern w:val="0"/>
          <w:sz w:val="32"/>
          <w:szCs w:val="32"/>
          <w:highlight w:val="none"/>
          <w:shd w:val="clear" w:color="auto" w:fill="auto"/>
          <w:lang w:eastAsia="zh-CN"/>
        </w:rPr>
        <w:t>，</w:t>
      </w:r>
      <w:r>
        <w:rPr>
          <w:rFonts w:hint="eastAsia" w:ascii="仿宋_GB2312" w:hAnsi="宋体" w:eastAsia="仿宋_GB2312" w:cs="宋体"/>
          <w:color w:val="auto"/>
          <w:spacing w:val="8"/>
          <w:kern w:val="0"/>
          <w:sz w:val="32"/>
          <w:szCs w:val="32"/>
          <w:highlight w:val="none"/>
          <w:shd w:val="clear" w:color="auto" w:fill="auto"/>
        </w:rPr>
        <w:t>已答复</w:t>
      </w:r>
      <w:r>
        <w:rPr>
          <w:rFonts w:hint="eastAsia" w:ascii="仿宋_GB2312" w:hAnsi="宋体" w:eastAsia="仿宋_GB2312" w:cs="宋体"/>
          <w:color w:val="auto"/>
          <w:spacing w:val="8"/>
          <w:kern w:val="0"/>
          <w:sz w:val="32"/>
          <w:szCs w:val="32"/>
          <w:highlight w:val="none"/>
          <w:shd w:val="clear" w:color="auto" w:fill="auto"/>
          <w:lang w:val="en-US" w:eastAsia="zh-CN"/>
        </w:rPr>
        <w:t>855</w:t>
      </w:r>
      <w:r>
        <w:rPr>
          <w:rFonts w:hint="eastAsia" w:ascii="仿宋_GB2312" w:hAnsi="宋体" w:eastAsia="仿宋_GB2312" w:cs="宋体"/>
          <w:color w:val="auto"/>
          <w:spacing w:val="8"/>
          <w:kern w:val="0"/>
          <w:sz w:val="32"/>
          <w:szCs w:val="32"/>
          <w:highlight w:val="none"/>
          <w:shd w:val="clear" w:color="auto" w:fill="auto"/>
        </w:rPr>
        <w:t>件，</w:t>
      </w:r>
      <w:r>
        <w:rPr>
          <w:rFonts w:hint="eastAsia" w:ascii="仿宋_GB2312" w:hAnsi="宋体" w:eastAsia="仿宋_GB2312" w:cs="宋体"/>
          <w:color w:val="auto"/>
          <w:spacing w:val="8"/>
          <w:kern w:val="0"/>
          <w:sz w:val="32"/>
          <w:szCs w:val="32"/>
          <w:highlight w:val="none"/>
          <w:shd w:val="clear" w:color="auto" w:fill="auto"/>
          <w:lang w:eastAsia="zh-CN"/>
        </w:rPr>
        <w:t>其中</w:t>
      </w:r>
      <w:r>
        <w:rPr>
          <w:rFonts w:hint="eastAsia" w:ascii="仿宋_GB2312" w:hAnsi="宋体" w:eastAsia="仿宋_GB2312" w:cs="宋体"/>
          <w:color w:val="auto"/>
          <w:spacing w:val="8"/>
          <w:kern w:val="0"/>
          <w:sz w:val="32"/>
          <w:szCs w:val="32"/>
          <w:highlight w:val="none"/>
          <w:shd w:val="clear" w:color="auto" w:fill="auto"/>
          <w:lang w:val="en-US" w:eastAsia="zh-CN"/>
        </w:rPr>
        <w:t>19件为申请人主动撤销申请，其余23件</w:t>
      </w:r>
      <w:r>
        <w:rPr>
          <w:rFonts w:hint="eastAsia" w:ascii="仿宋_GB2312" w:hAnsi="宋体" w:eastAsia="仿宋_GB2312" w:cs="宋体"/>
          <w:color w:val="auto"/>
          <w:spacing w:val="8"/>
          <w:kern w:val="0"/>
          <w:sz w:val="32"/>
          <w:szCs w:val="32"/>
          <w:highlight w:val="none"/>
          <w:shd w:val="clear" w:color="auto" w:fill="auto"/>
        </w:rPr>
        <w:t>结转下年度继续办理。</w:t>
      </w:r>
      <w:r>
        <w:rPr>
          <w:rFonts w:hint="eastAsia" w:ascii="仿宋_GB2312" w:hAnsi="宋体" w:eastAsia="仿宋_GB2312" w:cs="宋体"/>
          <w:color w:val="auto"/>
          <w:spacing w:val="8"/>
          <w:kern w:val="0"/>
          <w:sz w:val="32"/>
          <w:szCs w:val="32"/>
          <w:highlight w:val="none"/>
          <w:shd w:val="clear" w:color="auto" w:fill="auto"/>
          <w:lang w:eastAsia="zh-CN"/>
        </w:rPr>
        <w:t>无</w:t>
      </w:r>
      <w:r>
        <w:rPr>
          <w:rFonts w:hint="eastAsia" w:ascii="仿宋_GB2312" w:hAnsi="仿宋_GB2312" w:eastAsia="仿宋_GB2312" w:cs="仿宋_GB2312"/>
          <w:b w:val="0"/>
          <w:bCs w:val="0"/>
          <w:color w:val="auto"/>
          <w:sz w:val="32"/>
          <w:szCs w:val="32"/>
          <w:lang w:val="en-US" w:eastAsia="zh-CN"/>
        </w:rPr>
        <w:t>渠道不畅通、申请不受理、答复不规范等问题。</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left="0" w:leftChars="0"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color w:val="000000"/>
          <w:sz w:val="32"/>
          <w:szCs w:val="32"/>
          <w:lang w:val="en-US" w:eastAsia="zh-CN"/>
        </w:rPr>
        <w:t>（四）政府信息管理情况。严格落实“先审查、后发布”制度，调整</w:t>
      </w:r>
      <w:r>
        <w:rPr>
          <w:rFonts w:hint="eastAsia" w:ascii="仿宋_GB2312" w:hAnsi="仿宋_GB2312" w:eastAsia="仿宋_GB2312" w:cs="仿宋_GB2312"/>
          <w:sz w:val="32"/>
          <w:szCs w:val="32"/>
          <w:lang w:val="en-US" w:eastAsia="zh-CN"/>
        </w:rPr>
        <w:t>区政府网站政策文件展现方式，提供多样的文件检索功能，单独设置废止文件归档版块，让公众查询政策更便捷，获取信息更准确。</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left="0" w:leftChars="0" w:right="0" w:rightChars="0" w:firstLine="640" w:firstLineChars="200"/>
        <w:textAlignment w:val="auto"/>
        <w:rPr>
          <w:rFonts w:hint="eastAsia" w:ascii="仿宋_GB2312" w:hAnsi="仿宋_GB2312" w:eastAsia="仿宋_GB2312" w:cs="仿宋_GB2312"/>
          <w:b w:val="0"/>
          <w:bCs w:val="0"/>
          <w:color w:val="000000"/>
          <w:sz w:val="32"/>
          <w:szCs w:val="32"/>
          <w:lang w:val="en-US" w:eastAsia="zh-CN"/>
        </w:rPr>
      </w:pPr>
      <w:r>
        <w:rPr>
          <w:rFonts w:hint="eastAsia" w:ascii="楷体" w:hAnsi="楷体" w:eastAsia="楷体" w:cs="楷体"/>
          <w:color w:val="000000"/>
          <w:sz w:val="32"/>
          <w:szCs w:val="32"/>
          <w:lang w:val="en-US" w:eastAsia="zh-CN"/>
        </w:rPr>
        <w:t>（五）政府信息公开平台建设情况。</w:t>
      </w:r>
      <w:r>
        <w:rPr>
          <w:rFonts w:hint="eastAsia" w:ascii="仿宋_GB2312" w:hAnsi="仿宋_GB2312" w:eastAsia="仿宋_GB2312" w:cs="仿宋_GB2312"/>
          <w:sz w:val="32"/>
          <w:szCs w:val="32"/>
          <w:lang w:val="en-US" w:eastAsia="zh-CN"/>
        </w:rPr>
        <w:t>一是优化区政府门户网站访问界面，提升访问友好度。二是更新“智能问答知识库”，解答群众咨询更准确。三是上线了“用户空间”，</w:t>
      </w:r>
      <w:r>
        <w:rPr>
          <w:rFonts w:hint="eastAsia" w:ascii="仿宋_GB2312" w:hAnsi="仿宋_GB2312" w:eastAsia="仿宋_GB2312" w:cs="仿宋_GB2312"/>
          <w:b w:val="0"/>
          <w:bCs w:val="0"/>
          <w:color w:val="000000"/>
          <w:sz w:val="32"/>
          <w:szCs w:val="32"/>
          <w:lang w:eastAsia="zh-CN"/>
        </w:rPr>
        <w:t>汇集了与“全生命周期”相关的</w:t>
      </w:r>
      <w:r>
        <w:rPr>
          <w:rFonts w:hint="eastAsia" w:ascii="仿宋_GB2312" w:hAnsi="仿宋_GB2312" w:eastAsia="仿宋_GB2312" w:cs="仿宋_GB2312"/>
          <w:b w:val="0"/>
          <w:bCs w:val="0"/>
          <w:color w:val="000000"/>
          <w:sz w:val="32"/>
          <w:szCs w:val="32"/>
          <w:lang w:val="en-US" w:eastAsia="zh-CN"/>
        </w:rPr>
        <w:t>11项办事事项，采取精准推送和订制服务的方式，实现“一空间、全服务、精准化”。</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left="0" w:leftChars="0"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color w:val="000000"/>
          <w:sz w:val="32"/>
          <w:szCs w:val="32"/>
          <w:lang w:val="en-US" w:eastAsia="zh-CN"/>
        </w:rPr>
        <w:t>（六）教育培训情况。</w:t>
      </w:r>
      <w:r>
        <w:rPr>
          <w:rFonts w:hint="eastAsia" w:ascii="仿宋_GB2312" w:hAnsi="仿宋_GB2312" w:eastAsia="仿宋_GB2312" w:cs="仿宋_GB2312"/>
          <w:b w:val="0"/>
          <w:bCs w:val="0"/>
          <w:sz w:val="32"/>
          <w:szCs w:val="32"/>
          <w:lang w:val="en-US" w:eastAsia="zh-CN"/>
        </w:rPr>
        <w:t>一是开展《个人信息保护法》、</w:t>
      </w:r>
      <w:r>
        <w:rPr>
          <w:rFonts w:hint="eastAsia" w:ascii="仿宋_GB2312" w:hAnsi="仿宋_GB2312" w:eastAsia="仿宋_GB2312" w:cs="仿宋_GB2312"/>
          <w:sz w:val="32"/>
          <w:szCs w:val="32"/>
          <w:lang w:val="en-US" w:eastAsia="zh-CN"/>
        </w:rPr>
        <w:t>依申请办理实操等培训活动4批次，270人次接受教育培训，提升了全区政务公开队伍整体水平。二是以区政府常务会“会前学法”为契机，进一步强化行政机关依法公开、主动公开意识，政府信息公开促进依法行政作用得到进一步发挥。</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left="0" w:leftChars="0" w:right="0" w:righ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楷体" w:hAnsi="楷体" w:eastAsia="楷体" w:cs="楷体"/>
          <w:color w:val="000000"/>
          <w:sz w:val="32"/>
          <w:szCs w:val="32"/>
          <w:lang w:val="en-US" w:eastAsia="zh-CN"/>
        </w:rPr>
        <w:t>（七）监督保障情况。</w:t>
      </w:r>
      <w:r>
        <w:rPr>
          <w:rFonts w:hint="eastAsia" w:ascii="仿宋_GB2312" w:hAnsi="仿宋_GB2312" w:eastAsia="仿宋_GB2312" w:cs="仿宋_GB2312"/>
          <w:b w:val="0"/>
          <w:bCs w:val="0"/>
          <w:sz w:val="32"/>
          <w:szCs w:val="32"/>
          <w:lang w:val="en-US" w:eastAsia="zh-CN"/>
        </w:rPr>
        <w:t>将政务公开纳入区政府绩效考核体系，</w:t>
      </w:r>
      <w:r>
        <w:rPr>
          <w:rFonts w:hint="eastAsia" w:ascii="仿宋_GB2312" w:hAnsi="仿宋_GB2312" w:eastAsia="仿宋_GB2312" w:cs="仿宋_GB2312"/>
          <w:b w:val="0"/>
          <w:bCs w:val="0"/>
          <w:sz w:val="32"/>
          <w:szCs w:val="32"/>
          <w:highlight w:val="none"/>
          <w:lang w:val="en-US" w:eastAsia="zh-CN"/>
        </w:rPr>
        <w:t>定期开展工作检查，督促各项任务规范落实。</w:t>
      </w:r>
      <w:r>
        <w:rPr>
          <w:rFonts w:hint="eastAsia" w:ascii="仿宋_GB2312" w:hAnsi="仿宋_GB2312" w:eastAsia="仿宋_GB2312" w:cs="仿宋_GB2312"/>
          <w:b w:val="0"/>
          <w:bCs w:val="0"/>
          <w:sz w:val="32"/>
          <w:szCs w:val="32"/>
          <w:lang w:val="en-US" w:eastAsia="zh-CN"/>
        </w:rPr>
        <w:t>强化政府对外联系电话管理，不断提升首次接听率，保障群众咨询与监督渠道畅通。本年度，未发生因政府信息公开和网站及政务新媒体保障不力被追责情况。</w:t>
      </w:r>
    </w:p>
    <w:p>
      <w:pPr>
        <w:pStyle w:val="2"/>
      </w:pPr>
    </w:p>
    <w:p>
      <w:pPr>
        <w:pStyle w:val="2"/>
      </w:pPr>
    </w:p>
    <w:p>
      <w:pPr>
        <w:pStyle w:val="2"/>
      </w:pPr>
    </w:p>
    <w:p>
      <w:pPr>
        <w:pStyle w:val="2"/>
      </w:pP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ascii="黑体" w:hAnsi="黑体" w:eastAsia="黑体" w:cs="黑体"/>
          <w:sz w:val="32"/>
          <w:szCs w:val="32"/>
        </w:rPr>
        <w:t>主动公开政府信息情况</w:t>
      </w:r>
    </w:p>
    <w:p>
      <w:pPr>
        <w:pStyle w:val="2"/>
        <w:rPr>
          <w:rFonts w:hint="eastAsia"/>
        </w:rPr>
      </w:pPr>
    </w:p>
    <w:tbl>
      <w:tblPr>
        <w:tblStyle w:val="6"/>
        <w:tblW w:w="9740"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435"/>
        <w:gridCol w:w="2435"/>
        <w:gridCol w:w="2435"/>
        <w:gridCol w:w="24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9BC2E6"/>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color w:val="000000"/>
                <w:kern w:val="0"/>
                <w:sz w:val="20"/>
                <w:szCs w:val="20"/>
                <w:lang w:val="en-US" w:eastAsia="zh-CN" w:bidi="ar"/>
              </w:rPr>
              <w:t>信息内容</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本年制发件数</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color w:val="000000"/>
                <w:kern w:val="0"/>
                <w:sz w:val="20"/>
                <w:szCs w:val="20"/>
                <w:lang w:val="en-US" w:eastAsia="zh-CN" w:bidi="ar"/>
              </w:rPr>
              <w:t>本年废止件数</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color w:val="000000"/>
                <w:kern w:val="0"/>
                <w:sz w:val="20"/>
                <w:szCs w:val="20"/>
                <w:lang w:val="en-US" w:eastAsia="zh-CN" w:bidi="ar"/>
              </w:rPr>
              <w:t>现行有效件</w:t>
            </w:r>
            <w:r>
              <w:rPr>
                <w:rFonts w:hint="eastAsia" w:ascii="宋体" w:hAnsi="宋体" w:eastAsia="宋体" w:cs="宋体"/>
                <w:kern w:val="0"/>
                <w:sz w:val="20"/>
                <w:szCs w:val="20"/>
                <w:lang w:val="en-US" w:eastAsia="zh-CN" w:bidi="ar"/>
              </w:rPr>
              <w:t>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color w:val="000000"/>
                <w:kern w:val="0"/>
                <w:sz w:val="20"/>
                <w:szCs w:val="20"/>
                <w:lang w:val="en-US" w:eastAsia="zh-CN" w:bidi="ar"/>
              </w:rPr>
              <w:t>规章</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lang w:val="en-US"/>
              </w:rPr>
            </w:pPr>
            <w:r>
              <w:rPr>
                <w:rFonts w:hint="eastAsia" w:ascii="宋体" w:hAnsi="宋体" w:eastAsia="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lang w:val="en-US"/>
              </w:rPr>
            </w:pPr>
            <w:r>
              <w:rPr>
                <w:rFonts w:hint="eastAsia" w:ascii="宋体" w:hAnsi="宋体" w:eastAsia="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lang w:val="en-US"/>
              </w:rPr>
            </w:pPr>
            <w:r>
              <w:rPr>
                <w:rFonts w:hint="eastAsia" w:ascii="宋体" w:hAnsi="宋体" w:eastAsia="宋体" w:cs="宋体"/>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color w:val="000000"/>
                <w:kern w:val="0"/>
                <w:sz w:val="20"/>
                <w:szCs w:val="20"/>
                <w:lang w:val="en-US" w:eastAsia="zh-CN" w:bidi="ar"/>
              </w:rPr>
              <w:t>行政规范性文件</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34</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55</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w:t>
            </w:r>
            <w:r>
              <w:rPr>
                <w:rFonts w:hint="eastAsia" w:ascii="宋体" w:hAnsi="宋体" w:cs="宋体"/>
                <w:color w:val="000000"/>
                <w:kern w:val="0"/>
                <w:sz w:val="20"/>
                <w:szCs w:val="20"/>
                <w:lang w:val="en-US" w:eastAsia="zh-CN" w:bidi="ar"/>
              </w:rPr>
              <w:t>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color w:val="000000"/>
                <w:kern w:val="0"/>
                <w:sz w:val="20"/>
                <w:szCs w:val="20"/>
                <w:lang w:val="en-US" w:eastAsia="zh-CN" w:bidi="ar"/>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color w:val="000000"/>
                <w:kern w:val="0"/>
                <w:sz w:val="20"/>
                <w:szCs w:val="2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color w:val="000000"/>
                <w:kern w:val="0"/>
                <w:sz w:val="20"/>
                <w:szCs w:val="20"/>
                <w:lang w:val="en-US" w:eastAsia="zh-CN" w:bidi="ar"/>
              </w:rPr>
              <w:t>行政许可</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default" w:ascii="宋体" w:hAnsi="宋体" w:eastAsia="宋体" w:cs="宋体"/>
                <w:color w:val="000000"/>
                <w:kern w:val="0"/>
                <w:sz w:val="20"/>
                <w:szCs w:val="20"/>
                <w:lang w:val="en-US" w:eastAsia="zh-CN" w:bidi="ar"/>
              </w:rPr>
              <w:t>80913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color w:val="000000"/>
                <w:kern w:val="0"/>
                <w:sz w:val="20"/>
                <w:szCs w:val="20"/>
                <w:lang w:val="en-US" w:eastAsia="zh-CN" w:bidi="ar"/>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hint="eastAsia" w:ascii="宋体" w:hAnsi="宋体" w:eastAsia="宋体" w:cs="宋体"/>
                <w:color w:val="000000"/>
                <w:kern w:val="0"/>
                <w:sz w:val="20"/>
                <w:szCs w:val="20"/>
                <w:lang w:val="en-US" w:eastAsia="zh-CN" w:bidi="ar"/>
              </w:rPr>
              <w:t>信息内容</w:t>
            </w:r>
          </w:p>
        </w:tc>
        <w:tc>
          <w:tcPr>
            <w:tcW w:w="7305" w:type="dxa"/>
            <w:gridSpan w:val="3"/>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hint="eastAsia" w:ascii="宋体" w:hAnsi="宋体" w:eastAsia="宋体" w:cs="宋体"/>
                <w:color w:val="000000"/>
                <w:kern w:val="0"/>
                <w:sz w:val="20"/>
                <w:szCs w:val="2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color w:val="000000"/>
                <w:kern w:val="0"/>
                <w:sz w:val="20"/>
                <w:szCs w:val="20"/>
                <w:lang w:val="en-US" w:eastAsia="zh-CN" w:bidi="ar"/>
              </w:rPr>
              <w:t>行政处罚</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color w:val="000000"/>
                <w:kern w:val="0"/>
                <w:sz w:val="20"/>
                <w:szCs w:val="20"/>
                <w:lang w:val="en-US" w:eastAsia="zh-CN" w:bidi="ar"/>
              </w:rPr>
              <w:t>20833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color w:val="000000"/>
                <w:kern w:val="0"/>
                <w:sz w:val="20"/>
                <w:szCs w:val="20"/>
                <w:lang w:val="en-US" w:eastAsia="zh-CN" w:bidi="ar"/>
              </w:rPr>
              <w:t>行政强制</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color w:val="000000"/>
                <w:kern w:val="0"/>
                <w:sz w:val="20"/>
                <w:szCs w:val="20"/>
                <w:lang w:val="en-US" w:eastAsia="zh-CN" w:bidi="ar"/>
              </w:rPr>
              <w:t>1815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color w:val="000000"/>
                <w:kern w:val="0"/>
                <w:sz w:val="20"/>
                <w:szCs w:val="20"/>
                <w:lang w:val="en-US" w:eastAsia="zh-CN" w:bidi="ar"/>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000000" w:sz="8" w:space="0"/>
            </w:tcBorders>
            <w:shd w:val="clear" w:color="auto" w:fill="DDEBF7"/>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color w:val="000000"/>
                <w:kern w:val="0"/>
                <w:sz w:val="20"/>
                <w:szCs w:val="20"/>
                <w:lang w:val="en-US" w:eastAsia="zh-CN" w:bidi="ar"/>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color w:val="000000"/>
                <w:kern w:val="0"/>
                <w:sz w:val="20"/>
                <w:szCs w:val="20"/>
                <w:lang w:val="en-US" w:eastAsia="zh-CN" w:bidi="ar"/>
              </w:rPr>
              <w:t>行政事业性收费</w:t>
            </w:r>
          </w:p>
        </w:tc>
        <w:tc>
          <w:tcPr>
            <w:tcW w:w="7305" w:type="dxa"/>
            <w:gridSpan w:val="3"/>
            <w:tcBorders>
              <w:top w:val="nil"/>
              <w:left w:val="nil"/>
              <w:bottom w:val="single" w:color="auto" w:sz="8" w:space="0"/>
              <w:right w:val="single" w:color="000000"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sz w:val="24"/>
                <w:szCs w:val="24"/>
              </w:rPr>
            </w:pPr>
            <w:r>
              <w:rPr>
                <w:rFonts w:hint="eastAsia" w:ascii="宋体" w:hAnsi="宋体" w:eastAsia="宋体" w:cs="宋体"/>
                <w:color w:val="000000"/>
                <w:kern w:val="0"/>
                <w:sz w:val="20"/>
                <w:szCs w:val="20"/>
                <w:lang w:val="en-US" w:eastAsia="zh-CN" w:bidi="ar"/>
              </w:rPr>
              <w:t>30212.9749</w:t>
            </w:r>
          </w:p>
        </w:tc>
      </w:tr>
    </w:tbl>
    <w:p>
      <w:pPr>
        <w:keepNext w:val="0"/>
        <w:keepLines w:val="0"/>
        <w:pageBreakBefore w:val="0"/>
        <w:numPr>
          <w:ilvl w:val="0"/>
          <w:numId w:val="0"/>
        </w:numPr>
        <w:kinsoku/>
        <w:wordWrap/>
        <w:overflowPunct/>
        <w:topLinePunct w:val="0"/>
        <w:autoSpaceDE/>
        <w:autoSpaceDN/>
        <w:bidi w:val="0"/>
        <w:adjustRightInd/>
        <w:snapToGrid/>
        <w:spacing w:line="560" w:lineRule="exact"/>
        <w:ind w:leftChars="200"/>
        <w:textAlignment w:val="auto"/>
        <w:rPr>
          <w:rFonts w:hint="eastAsia" w:ascii="黑体" w:hAnsi="黑体" w:eastAsia="黑体" w:cs="黑体"/>
          <w:sz w:val="32"/>
          <w:szCs w:val="32"/>
        </w:rPr>
      </w:pPr>
    </w:p>
    <w:p>
      <w:pPr>
        <w:pStyle w:val="2"/>
        <w:rPr>
          <w:rFonts w:hint="eastAsia" w:ascii="黑体" w:hAnsi="黑体" w:eastAsia="黑体" w:cs="黑体"/>
          <w:sz w:val="32"/>
          <w:szCs w:val="32"/>
        </w:rPr>
      </w:pPr>
    </w:p>
    <w:p>
      <w:pPr>
        <w:keepNext w:val="0"/>
        <w:keepLines w:val="0"/>
        <w:pageBreakBefore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收到和处理政府信息公开申请情况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宋体" w:cs="宋体"/>
          <w:i w:val="0"/>
          <w:caps w:val="0"/>
          <w:color w:val="333333"/>
          <w:spacing w:val="0"/>
          <w:sz w:val="24"/>
          <w:szCs w:val="24"/>
        </w:rPr>
      </w:pPr>
    </w:p>
    <w:tbl>
      <w:tblPr>
        <w:tblStyle w:val="6"/>
        <w:tblW w:w="9748" w:type="dxa"/>
        <w:jc w:val="center"/>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768"/>
        <w:gridCol w:w="943"/>
        <w:gridCol w:w="3220"/>
        <w:gridCol w:w="688"/>
        <w:gridCol w:w="688"/>
        <w:gridCol w:w="688"/>
        <w:gridCol w:w="688"/>
        <w:gridCol w:w="688"/>
        <w:gridCol w:w="688"/>
        <w:gridCol w:w="68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1" w:type="dxa"/>
            <w:gridSpan w:val="3"/>
            <w:vMerge w:val="restart"/>
            <w:tcBorders>
              <w:top w:val="single" w:color="auto" w:sz="8" w:space="0"/>
              <w:left w:val="single" w:color="auto" w:sz="8" w:space="0"/>
              <w:bottom w:val="outset" w:color="auto" w:sz="8" w:space="0"/>
              <w:right w:val="single" w:color="auto" w:sz="8" w:space="0"/>
            </w:tcBorders>
            <w:shd w:val="clear" w:color="auto" w:fill="9BC2E6"/>
            <w:noWrap w:val="0"/>
            <w:tcMar>
              <w:left w:w="108" w:type="dxa"/>
              <w:right w:w="108"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left"/>
              <w:textAlignment w:val="auto"/>
            </w:pPr>
            <w:r>
              <w:rPr>
                <w:rFonts w:ascii="楷体" w:hAnsi="楷体" w:eastAsia="楷体" w:cs="楷体"/>
                <w:kern w:val="0"/>
                <w:sz w:val="20"/>
                <w:szCs w:val="20"/>
                <w:lang w:val="en-US" w:eastAsia="zh-CN" w:bidi="ar"/>
              </w:rPr>
              <w:t>（本列数据的勾稽关系为：第一项加第二项之和，等于第三项加第四项之和）</w:t>
            </w:r>
          </w:p>
        </w:tc>
        <w:tc>
          <w:tcPr>
            <w:tcW w:w="4817" w:type="dxa"/>
            <w:gridSpan w:val="7"/>
            <w:tcBorders>
              <w:top w:val="single" w:color="auto" w:sz="8" w:space="0"/>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pPr>
            <w:r>
              <w:rPr>
                <w:rFonts w:hint="eastAsia" w:ascii="宋体" w:hAnsi="宋体" w:eastAsia="宋体" w:cs="宋体"/>
                <w:kern w:val="0"/>
                <w:sz w:val="20"/>
                <w:szCs w:val="20"/>
                <w:lang w:val="en-US" w:eastAsia="zh-CN"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9BC2E6"/>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688" w:type="dxa"/>
            <w:vMerge w:val="restart"/>
            <w:tcBorders>
              <w:top w:val="nil"/>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pPr>
            <w:r>
              <w:rPr>
                <w:rFonts w:hint="eastAsia" w:ascii="宋体" w:hAnsi="宋体" w:eastAsia="宋体" w:cs="宋体"/>
                <w:kern w:val="0"/>
                <w:sz w:val="20"/>
                <w:szCs w:val="20"/>
                <w:lang w:val="en-US" w:eastAsia="zh-CN" w:bidi="ar"/>
              </w:rPr>
              <w:t>自然人</w:t>
            </w:r>
          </w:p>
        </w:tc>
        <w:tc>
          <w:tcPr>
            <w:tcW w:w="3440" w:type="dxa"/>
            <w:gridSpan w:val="5"/>
            <w:tcBorders>
              <w:top w:val="single" w:color="auto" w:sz="8" w:space="0"/>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pPr>
            <w:r>
              <w:rPr>
                <w:rFonts w:hint="eastAsia" w:ascii="宋体" w:hAnsi="宋体" w:eastAsia="宋体" w:cs="宋体"/>
                <w:kern w:val="0"/>
                <w:sz w:val="20"/>
                <w:szCs w:val="20"/>
                <w:lang w:val="en-US" w:eastAsia="zh-CN" w:bidi="ar"/>
              </w:rPr>
              <w:t>法人或其他组织</w:t>
            </w:r>
          </w:p>
        </w:tc>
        <w:tc>
          <w:tcPr>
            <w:tcW w:w="689" w:type="dxa"/>
            <w:vMerge w:val="restart"/>
            <w:tcBorders>
              <w:top w:val="single" w:color="auto" w:sz="8" w:space="0"/>
              <w:left w:val="nil"/>
              <w:bottom w:val="outset" w:color="auto" w:sz="8" w:space="0"/>
              <w:right w:val="single" w:color="auto" w:sz="8" w:space="0"/>
            </w:tcBorders>
            <w:shd w:val="clear" w:color="auto" w:fill="9BC2E6"/>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pPr>
            <w:r>
              <w:rPr>
                <w:rFonts w:hint="eastAsia" w:ascii="宋体" w:hAnsi="宋体" w:eastAsia="宋体" w:cs="宋体"/>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9BC2E6"/>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688" w:type="dxa"/>
            <w:vMerge w:val="continue"/>
            <w:tcBorders>
              <w:top w:val="nil"/>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tLeast"/>
              <w:textAlignment w:val="auto"/>
              <w:rPr>
                <w:rFonts w:hint="eastAsia" w:ascii="宋体"/>
                <w:sz w:val="24"/>
                <w:szCs w:val="24"/>
              </w:rPr>
            </w:pPr>
          </w:p>
        </w:tc>
        <w:tc>
          <w:tcPr>
            <w:tcW w:w="688" w:type="dxa"/>
            <w:tcBorders>
              <w:top w:val="nil"/>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pPr>
            <w:r>
              <w:rPr>
                <w:rFonts w:hint="eastAsia" w:ascii="宋体" w:hAnsi="宋体" w:eastAsia="宋体" w:cs="宋体"/>
                <w:kern w:val="0"/>
                <w:sz w:val="20"/>
                <w:szCs w:val="20"/>
                <w:lang w:val="en-US" w:eastAsia="zh-CN" w:bidi="ar"/>
              </w:rPr>
              <w:t>商业</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pPr>
            <w:r>
              <w:rPr>
                <w:rFonts w:hint="eastAsia" w:ascii="宋体" w:hAnsi="宋体" w:eastAsia="宋体" w:cs="宋体"/>
                <w:kern w:val="0"/>
                <w:sz w:val="20"/>
                <w:szCs w:val="20"/>
                <w:lang w:val="en-US" w:eastAsia="zh-CN" w:bidi="ar"/>
              </w:rPr>
              <w:t>企业</w:t>
            </w:r>
          </w:p>
        </w:tc>
        <w:tc>
          <w:tcPr>
            <w:tcW w:w="688" w:type="dxa"/>
            <w:tcBorders>
              <w:top w:val="nil"/>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pPr>
            <w:r>
              <w:rPr>
                <w:rFonts w:hint="eastAsia" w:ascii="宋体" w:hAnsi="宋体" w:eastAsia="宋体" w:cs="宋体"/>
                <w:kern w:val="0"/>
                <w:sz w:val="20"/>
                <w:szCs w:val="20"/>
                <w:lang w:val="en-US" w:eastAsia="zh-CN" w:bidi="ar"/>
              </w:rPr>
              <w:t>科研</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pPr>
            <w:r>
              <w:rPr>
                <w:rFonts w:hint="eastAsia" w:ascii="宋体" w:hAnsi="宋体" w:eastAsia="宋体" w:cs="宋体"/>
                <w:kern w:val="0"/>
                <w:sz w:val="20"/>
                <w:szCs w:val="20"/>
                <w:lang w:val="en-US" w:eastAsia="zh-CN" w:bidi="ar"/>
              </w:rPr>
              <w:t>机构</w:t>
            </w:r>
          </w:p>
        </w:tc>
        <w:tc>
          <w:tcPr>
            <w:tcW w:w="688" w:type="dxa"/>
            <w:tcBorders>
              <w:top w:val="single" w:color="auto" w:sz="8" w:space="0"/>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pPr>
            <w:r>
              <w:rPr>
                <w:rFonts w:hint="eastAsia" w:ascii="宋体" w:hAnsi="宋体" w:eastAsia="宋体" w:cs="宋体"/>
                <w:kern w:val="0"/>
                <w:sz w:val="20"/>
                <w:szCs w:val="20"/>
                <w:lang w:val="en-US" w:eastAsia="zh-CN" w:bidi="ar"/>
              </w:rPr>
              <w:t>社会公益组织</w:t>
            </w:r>
          </w:p>
        </w:tc>
        <w:tc>
          <w:tcPr>
            <w:tcW w:w="688" w:type="dxa"/>
            <w:tcBorders>
              <w:top w:val="single" w:color="auto" w:sz="8" w:space="0"/>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pPr>
            <w:r>
              <w:rPr>
                <w:rFonts w:hint="eastAsia" w:ascii="宋体" w:hAnsi="宋体" w:eastAsia="宋体" w:cs="宋体"/>
                <w:kern w:val="0"/>
                <w:sz w:val="20"/>
                <w:szCs w:val="20"/>
                <w:lang w:val="en-US" w:eastAsia="zh-CN" w:bidi="ar"/>
              </w:rPr>
              <w:t>法律服务机构</w:t>
            </w:r>
          </w:p>
        </w:tc>
        <w:tc>
          <w:tcPr>
            <w:tcW w:w="688" w:type="dxa"/>
            <w:tcBorders>
              <w:top w:val="single" w:color="auto" w:sz="8" w:space="0"/>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pPr>
            <w:r>
              <w:rPr>
                <w:rFonts w:hint="eastAsia" w:ascii="宋体" w:hAnsi="宋体" w:eastAsia="宋体" w:cs="宋体"/>
                <w:kern w:val="0"/>
                <w:sz w:val="20"/>
                <w:szCs w:val="20"/>
                <w:lang w:val="en-US" w:eastAsia="zh-CN" w:bidi="ar"/>
              </w:rPr>
              <w:t>其他</w:t>
            </w:r>
          </w:p>
        </w:tc>
        <w:tc>
          <w:tcPr>
            <w:tcW w:w="689" w:type="dxa"/>
            <w:vMerge w:val="continue"/>
            <w:tcBorders>
              <w:top w:val="single" w:color="auto" w:sz="8" w:space="0"/>
              <w:left w:val="nil"/>
              <w:bottom w:val="outset" w:color="auto" w:sz="8" w:space="0"/>
              <w:right w:val="single" w:color="auto" w:sz="8" w:space="0"/>
            </w:tcBorders>
            <w:shd w:val="clear" w:color="auto" w:fill="9BC2E6"/>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tLeast"/>
              <w:textAlignment w:val="auto"/>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kern w:val="0"/>
                <w:sz w:val="20"/>
                <w:szCs w:val="20"/>
                <w:lang w:val="en-US" w:eastAsia="zh-CN" w:bidi="ar"/>
              </w:rPr>
              <w:t>一、本年新收政府信息公开申请数量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sz w:val="20"/>
                <w:szCs w:val="20"/>
                <w:lang w:val="en-US"/>
              </w:rPr>
            </w:pPr>
            <w:r>
              <w:rPr>
                <w:rFonts w:hint="eastAsia" w:ascii="宋体" w:hAnsi="宋体" w:eastAsia="宋体" w:cs="宋体"/>
                <w:kern w:val="0"/>
                <w:sz w:val="20"/>
                <w:szCs w:val="20"/>
                <w:lang w:val="en-US" w:eastAsia="zh-CN" w:bidi="ar"/>
              </w:rPr>
              <w:t>7</w:t>
            </w:r>
            <w:r>
              <w:rPr>
                <w:rFonts w:hint="eastAsia" w:ascii="宋体" w:hAnsi="宋体" w:cs="宋体"/>
                <w:kern w:val="0"/>
                <w:sz w:val="20"/>
                <w:szCs w:val="20"/>
                <w:lang w:val="en-US" w:eastAsia="zh-CN" w:bidi="ar"/>
              </w:rPr>
              <w:t>58</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sz w:val="20"/>
                <w:szCs w:val="20"/>
                <w:lang w:val="en-US" w:eastAsia="zh-CN"/>
              </w:rPr>
            </w:pPr>
            <w:r>
              <w:rPr>
                <w:rFonts w:hint="eastAsia" w:ascii="宋体" w:hAnsi="宋体" w:cs="宋体"/>
                <w:sz w:val="20"/>
                <w:szCs w:val="20"/>
                <w:lang w:val="en-US" w:eastAsia="zh-CN"/>
              </w:rPr>
              <w:t>74</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0"/>
                <w:szCs w:val="20"/>
              </w:rPr>
            </w:pPr>
            <w:r>
              <w:rPr>
                <w:rFonts w:hint="eastAsia" w:ascii="宋体" w:hAnsi="宋体" w:cs="宋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0"/>
                <w:szCs w:val="20"/>
                <w:lang w:val="en-US"/>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0"/>
                <w:szCs w:val="20"/>
                <w:lang w:val="en-US" w:eastAsia="zh-CN"/>
              </w:rPr>
            </w:pPr>
            <w:r>
              <w:rPr>
                <w:rFonts w:hint="eastAsia" w:ascii="宋体" w:hAnsi="宋体" w:cs="宋体"/>
                <w:sz w:val="20"/>
                <w:szCs w:val="20"/>
                <w:lang w:val="en-US" w:eastAsia="zh-CN"/>
              </w:rPr>
              <w:t>5</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sz w:val="20"/>
                <w:szCs w:val="20"/>
                <w:lang w:val="en-US" w:eastAsia="zh-CN"/>
              </w:rPr>
            </w:pPr>
            <w:r>
              <w:rPr>
                <w:rFonts w:hint="eastAsia" w:ascii="宋体" w:hAnsi="宋体" w:cs="宋体"/>
                <w:sz w:val="20"/>
                <w:szCs w:val="20"/>
                <w:lang w:val="en-US" w:eastAsia="zh-CN"/>
              </w:rPr>
              <w:t>837</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kern w:val="0"/>
                <w:sz w:val="20"/>
                <w:szCs w:val="20"/>
                <w:lang w:val="en-US" w:eastAsia="zh-CN" w:bidi="ar"/>
              </w:rPr>
              <w:t>二、上年结转政府信息公开申请数量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sz w:val="20"/>
                <w:szCs w:val="20"/>
                <w:lang w:val="en-US"/>
              </w:rPr>
            </w:pPr>
            <w:r>
              <w:rPr>
                <w:rFonts w:hint="eastAsia" w:ascii="宋体" w:hAnsi="宋体" w:cs="宋体"/>
                <w:kern w:val="0"/>
                <w:sz w:val="20"/>
                <w:szCs w:val="20"/>
                <w:lang w:val="en-US" w:eastAsia="zh-CN" w:bidi="ar"/>
              </w:rPr>
              <w:t>39</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sz w:val="20"/>
                <w:szCs w:val="20"/>
                <w:lang w:val="en-US" w:eastAsia="zh-CN"/>
              </w:rPr>
            </w:pPr>
            <w:r>
              <w:rPr>
                <w:rFonts w:hint="eastAsia" w:ascii="宋体" w:hAnsi="宋体" w:cs="宋体"/>
                <w:sz w:val="20"/>
                <w:szCs w:val="20"/>
                <w:lang w:val="en-US" w:eastAsia="zh-CN"/>
              </w:rPr>
              <w:t>2</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0"/>
                <w:szCs w:val="20"/>
                <w:lang w:val="en-US"/>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0"/>
                <w:szCs w:val="20"/>
                <w:lang w:val="en-US"/>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0"/>
                <w:szCs w:val="20"/>
                <w:lang w:val="en-US"/>
              </w:rPr>
            </w:pPr>
            <w:r>
              <w:rPr>
                <w:rFonts w:hint="eastAsia" w:ascii="宋体" w:hAnsi="宋体" w:eastAsia="宋体" w:cs="宋体"/>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sz w:val="20"/>
                <w:szCs w:val="20"/>
                <w:lang w:val="en-US" w:eastAsia="zh-CN"/>
              </w:rPr>
            </w:pPr>
            <w:r>
              <w:rPr>
                <w:rFonts w:hint="eastAsia" w:ascii="宋体" w:hAnsi="宋体" w:cs="宋体"/>
                <w:sz w:val="20"/>
                <w:szCs w:val="20"/>
                <w:lang w:val="en-US" w:eastAsia="zh-CN"/>
              </w:rPr>
              <w:t>41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restart"/>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kern w:val="0"/>
                <w:sz w:val="20"/>
                <w:szCs w:val="20"/>
                <w:lang w:val="en-US" w:eastAsia="zh-CN" w:bidi="ar"/>
              </w:rPr>
              <w:t>三、本年度办理结果</w:t>
            </w:r>
          </w:p>
        </w:tc>
        <w:tc>
          <w:tcPr>
            <w:tcW w:w="4163" w:type="dxa"/>
            <w:gridSpan w:val="2"/>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kern w:val="0"/>
                <w:sz w:val="20"/>
                <w:szCs w:val="20"/>
                <w:lang w:val="en-US" w:eastAsia="zh-CN" w:bidi="ar"/>
              </w:rPr>
              <w:t>（一）予以公开</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sz w:val="20"/>
                <w:szCs w:val="20"/>
                <w:lang w:val="en-US"/>
              </w:rPr>
            </w:pPr>
            <w:r>
              <w:rPr>
                <w:rFonts w:hint="eastAsia" w:ascii="宋体" w:hAnsi="宋体" w:eastAsia="宋体" w:cs="宋体"/>
                <w:kern w:val="0"/>
                <w:sz w:val="20"/>
                <w:szCs w:val="20"/>
                <w:lang w:val="en-US" w:eastAsia="zh-CN" w:bidi="ar"/>
              </w:rPr>
              <w:t>247</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sz w:val="20"/>
                <w:szCs w:val="20"/>
                <w:lang w:val="en-US"/>
              </w:rPr>
            </w:pPr>
            <w:r>
              <w:rPr>
                <w:rFonts w:hint="eastAsia" w:ascii="宋体" w:hAnsi="宋体" w:eastAsia="宋体" w:cs="宋体"/>
                <w:kern w:val="0"/>
                <w:sz w:val="20"/>
                <w:szCs w:val="20"/>
                <w:lang w:val="en-US" w:eastAsia="zh-CN" w:bidi="ar"/>
              </w:rPr>
              <w:t>2</w:t>
            </w:r>
            <w:r>
              <w:rPr>
                <w:rFonts w:hint="eastAsia" w:ascii="宋体" w:hAnsi="宋体" w:cs="宋体"/>
                <w:kern w:val="0"/>
                <w:sz w:val="20"/>
                <w:szCs w:val="20"/>
                <w:lang w:val="en-US" w:eastAsia="zh-CN" w:bidi="ar"/>
              </w:rPr>
              <w:t>4</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0"/>
                <w:szCs w:val="20"/>
                <w:lang w:val="en-US"/>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0"/>
                <w:szCs w:val="20"/>
                <w:lang w:val="en-US"/>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0"/>
                <w:szCs w:val="20"/>
                <w:lang w:val="en-US" w:eastAsia="zh-CN"/>
              </w:rPr>
            </w:pPr>
            <w:r>
              <w:rPr>
                <w:rFonts w:hint="eastAsia" w:ascii="宋体" w:hAnsi="宋体" w:cs="宋体"/>
                <w:sz w:val="20"/>
                <w:szCs w:val="20"/>
                <w:lang w:val="en-US" w:eastAsia="zh-CN"/>
              </w:rPr>
              <w:t>2</w:t>
            </w:r>
          </w:p>
        </w:tc>
        <w:tc>
          <w:tcPr>
            <w:tcW w:w="689"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sz w:val="20"/>
                <w:szCs w:val="20"/>
                <w:lang w:val="en-US" w:eastAsia="zh-CN"/>
              </w:rPr>
            </w:pPr>
            <w:r>
              <w:rPr>
                <w:rFonts w:hint="eastAsia" w:ascii="宋体" w:hAnsi="宋体" w:cs="宋体"/>
                <w:sz w:val="20"/>
                <w:szCs w:val="20"/>
                <w:lang w:val="en-US" w:eastAsia="zh-CN"/>
              </w:rPr>
              <w:t>273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4163" w:type="dxa"/>
            <w:gridSpan w:val="2"/>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left"/>
              <w:textAlignment w:val="auto"/>
            </w:pPr>
            <w:r>
              <w:rPr>
                <w:rFonts w:hint="eastAsia" w:ascii="宋体" w:hAnsi="宋体" w:eastAsia="宋体" w:cs="宋体"/>
                <w:kern w:val="0"/>
                <w:sz w:val="20"/>
                <w:szCs w:val="20"/>
                <w:lang w:val="en-US" w:eastAsia="zh-CN" w:bidi="ar"/>
              </w:rPr>
              <w:t>（二）部分公开</w:t>
            </w:r>
            <w:r>
              <w:rPr>
                <w:rFonts w:hint="default" w:ascii="楷体" w:hAnsi="楷体" w:eastAsia="楷体" w:cs="楷体"/>
                <w:kern w:val="0"/>
                <w:sz w:val="20"/>
                <w:szCs w:val="20"/>
                <w:lang w:val="en-US" w:eastAsia="zh-CN" w:bidi="ar"/>
              </w:rPr>
              <w:t>（区分处理的，只计这一情形，不计其他情形）</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default" w:ascii="宋体" w:hAnsi="宋体" w:eastAsia="宋体" w:cs="宋体"/>
                <w:sz w:val="20"/>
                <w:szCs w:val="20"/>
                <w:lang w:val="en-US" w:eastAsia="zh-CN"/>
              </w:rPr>
            </w:pPr>
            <w:r>
              <w:rPr>
                <w:rFonts w:hint="eastAsia" w:ascii="宋体" w:hAnsi="宋体" w:cs="宋体"/>
                <w:sz w:val="20"/>
                <w:szCs w:val="20"/>
                <w:lang w:val="en-US" w:eastAsia="zh-CN"/>
              </w:rPr>
              <w:t>68</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lang w:val="en-US" w:eastAsia="zh-CN"/>
              </w:rPr>
            </w:pPr>
            <w:r>
              <w:rPr>
                <w:rFonts w:hint="eastAsia" w:ascii="宋体" w:hAnsi="宋体" w:cs="宋体"/>
                <w:sz w:val="20"/>
                <w:szCs w:val="20"/>
                <w:lang w:val="en-US" w:eastAsia="zh-CN"/>
              </w:rPr>
              <w:t>5</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lang w:val="en-US"/>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lang w:val="en-US" w:eastAsia="zh-CN"/>
              </w:rPr>
            </w:pPr>
            <w:r>
              <w:rPr>
                <w:rFonts w:hint="eastAsia" w:ascii="宋体" w:hAnsi="宋体" w:cs="宋体"/>
                <w:sz w:val="20"/>
                <w:szCs w:val="20"/>
                <w:lang w:val="en-US" w:eastAsia="zh-CN"/>
              </w:rPr>
              <w:t>1</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default" w:ascii="宋体" w:hAnsi="宋体" w:eastAsia="宋体" w:cs="宋体"/>
                <w:sz w:val="20"/>
                <w:szCs w:val="20"/>
                <w:lang w:val="en-US" w:eastAsia="zh-CN"/>
              </w:rPr>
            </w:pPr>
            <w:r>
              <w:rPr>
                <w:rFonts w:hint="eastAsia" w:ascii="宋体" w:hAnsi="宋体" w:cs="宋体"/>
                <w:sz w:val="20"/>
                <w:szCs w:val="20"/>
                <w:lang w:val="en-US" w:eastAsia="zh-CN"/>
              </w:rPr>
              <w:t>74</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DDEBF7"/>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left"/>
              <w:textAlignment w:val="auto"/>
            </w:pPr>
            <w:r>
              <w:rPr>
                <w:rFonts w:hint="eastAsia" w:ascii="宋体" w:hAnsi="宋体" w:eastAsia="宋体" w:cs="宋体"/>
                <w:kern w:val="0"/>
                <w:sz w:val="20"/>
                <w:szCs w:val="20"/>
                <w:lang w:val="en-US" w:eastAsia="zh-CN" w:bidi="ar"/>
              </w:rPr>
              <w:t>（三）不予公开</w:t>
            </w: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left"/>
              <w:textAlignment w:val="auto"/>
            </w:pPr>
            <w:r>
              <w:rPr>
                <w:rFonts w:hint="eastAsia" w:ascii="宋体" w:hAnsi="宋体" w:eastAsia="宋体" w:cs="宋体"/>
                <w:kern w:val="0"/>
                <w:sz w:val="20"/>
                <w:szCs w:val="20"/>
                <w:lang w:val="en-US" w:eastAsia="zh-CN" w:bidi="ar"/>
              </w:rPr>
              <w:t>1.属于国家秘密</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lang w:val="en-US" w:eastAsia="zh-CN"/>
              </w:rPr>
            </w:pPr>
            <w:r>
              <w:rPr>
                <w:rFonts w:hint="eastAsia" w:ascii="宋体" w:hAnsi="宋体" w:cs="宋体"/>
                <w:sz w:val="20"/>
                <w:szCs w:val="20"/>
                <w:lang w:val="en-US" w:eastAsia="zh-CN"/>
              </w:rPr>
              <w:t>2</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lang w:val="en-US"/>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lang w:val="en-US"/>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lang w:val="en-US"/>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lang w:val="en-US"/>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lang w:val="en-US"/>
              </w:rPr>
            </w:pPr>
            <w:r>
              <w:rPr>
                <w:rFonts w:hint="eastAsia" w:ascii="宋体" w:hAnsi="宋体" w:eastAsia="宋体" w:cs="宋体"/>
                <w:kern w:val="0"/>
                <w:sz w:val="20"/>
                <w:szCs w:val="20"/>
                <w:lang w:val="en-US" w:eastAsia="zh-CN" w:bidi="ar"/>
              </w:rPr>
              <w:t>0</w:t>
            </w:r>
          </w:p>
        </w:tc>
        <w:tc>
          <w:tcPr>
            <w:tcW w:w="689"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lang w:val="en-US" w:eastAsia="zh-CN"/>
              </w:rPr>
            </w:pPr>
            <w:r>
              <w:rPr>
                <w:rFonts w:hint="eastAsia" w:ascii="宋体" w:hAnsi="宋体" w:cs="宋体"/>
                <w:sz w:val="20"/>
                <w:szCs w:val="20"/>
                <w:lang w:val="en-US" w:eastAsia="zh-CN"/>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tLeast"/>
              <w:textAlignment w:val="auto"/>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left"/>
              <w:textAlignment w:val="auto"/>
            </w:pPr>
            <w:r>
              <w:rPr>
                <w:rFonts w:hint="eastAsia" w:ascii="宋体" w:hAnsi="宋体" w:eastAsia="宋体" w:cs="宋体"/>
                <w:kern w:val="0"/>
                <w:sz w:val="20"/>
                <w:szCs w:val="20"/>
                <w:lang w:val="en-US" w:eastAsia="zh-CN" w:bidi="ar"/>
              </w:rPr>
              <w:t>2.其他法律行政法规禁止公开</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lang w:val="en-US" w:eastAsia="zh-CN"/>
              </w:rPr>
            </w:pPr>
            <w:r>
              <w:rPr>
                <w:rFonts w:hint="eastAsia" w:ascii="宋体" w:hAnsi="宋体" w:cs="宋体"/>
                <w:sz w:val="20"/>
                <w:szCs w:val="2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lang w:val="en-US"/>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lang w:val="en-US"/>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lang w:val="en-US"/>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lang w:val="en-US"/>
              </w:rPr>
            </w:pPr>
            <w:r>
              <w:rPr>
                <w:rFonts w:hint="eastAsia" w:ascii="宋体" w:hAnsi="宋体" w:eastAsia="宋体" w:cs="宋体"/>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lang w:val="en-US" w:eastAsia="zh-CN"/>
              </w:rPr>
            </w:pPr>
            <w:r>
              <w:rPr>
                <w:rFonts w:hint="eastAsia" w:ascii="宋体" w:hAnsi="宋体" w:cs="宋体"/>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tLeast"/>
              <w:textAlignment w:val="auto"/>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left"/>
              <w:textAlignment w:val="auto"/>
            </w:pPr>
            <w:r>
              <w:rPr>
                <w:rFonts w:hint="eastAsia" w:ascii="宋体" w:hAnsi="宋体" w:eastAsia="宋体" w:cs="宋体"/>
                <w:kern w:val="0"/>
                <w:sz w:val="20"/>
                <w:szCs w:val="20"/>
                <w:lang w:val="en-US" w:eastAsia="zh-CN" w:bidi="ar"/>
              </w:rPr>
              <w:t>3.危及“三安全一稳定”</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lang w:val="en-US"/>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lang w:val="en-US"/>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lang w:val="en-US"/>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lang w:val="en-US"/>
              </w:rPr>
            </w:pPr>
            <w:r>
              <w:rPr>
                <w:rFonts w:hint="eastAsia" w:ascii="宋体" w:hAnsi="宋体" w:eastAsia="宋体" w:cs="宋体"/>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lang w:val="en-US"/>
              </w:rPr>
            </w:pPr>
            <w:r>
              <w:rPr>
                <w:rFonts w:hint="eastAsia" w:ascii="宋体" w:hAnsi="宋体" w:eastAsia="宋体" w:cs="宋体"/>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tLeast"/>
              <w:textAlignment w:val="auto"/>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left"/>
              <w:textAlignment w:val="auto"/>
            </w:pPr>
            <w:r>
              <w:rPr>
                <w:rFonts w:hint="eastAsia" w:ascii="宋体" w:hAnsi="宋体" w:eastAsia="宋体" w:cs="宋体"/>
                <w:kern w:val="0"/>
                <w:sz w:val="20"/>
                <w:szCs w:val="20"/>
                <w:lang w:val="en-US" w:eastAsia="zh-CN" w:bidi="ar"/>
              </w:rPr>
              <w:t>4.保护第三方合法权益</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lang w:val="en-US" w:eastAsia="zh-CN"/>
              </w:rPr>
            </w:pPr>
            <w:r>
              <w:rPr>
                <w:rFonts w:hint="eastAsia" w:ascii="宋体" w:hAnsi="宋体" w:cs="宋体"/>
                <w:sz w:val="20"/>
                <w:szCs w:val="20"/>
                <w:lang w:val="en-US" w:eastAsia="zh-CN"/>
              </w:rPr>
              <w:t>5</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lang w:val="en-US" w:eastAsia="zh-CN"/>
              </w:rPr>
            </w:pPr>
            <w:r>
              <w:rPr>
                <w:rFonts w:hint="eastAsia" w:ascii="宋体" w:hAnsi="宋体" w:cs="宋体"/>
                <w:sz w:val="20"/>
                <w:szCs w:val="20"/>
                <w:lang w:val="en-US" w:eastAsia="zh-CN"/>
              </w:rPr>
              <w:t>1</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lang w:val="en-US"/>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lang w:val="en-US"/>
              </w:rPr>
            </w:pPr>
            <w:r>
              <w:rPr>
                <w:rFonts w:hint="eastAsia" w:ascii="宋体" w:hAnsi="宋体" w:eastAsia="宋体" w:cs="宋体"/>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lang w:val="en-US" w:eastAsia="zh-CN"/>
              </w:rPr>
            </w:pPr>
            <w:r>
              <w:rPr>
                <w:rFonts w:hint="eastAsia" w:ascii="宋体" w:hAnsi="宋体" w:cs="宋体"/>
                <w:sz w:val="20"/>
                <w:szCs w:val="20"/>
                <w:lang w:val="en-US" w:eastAsia="zh-CN"/>
              </w:rPr>
              <w:t>6</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tLeast"/>
              <w:textAlignment w:val="auto"/>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left"/>
              <w:textAlignment w:val="auto"/>
            </w:pPr>
            <w:r>
              <w:rPr>
                <w:rFonts w:hint="eastAsia" w:ascii="宋体" w:hAnsi="宋体" w:eastAsia="宋体" w:cs="宋体"/>
                <w:kern w:val="0"/>
                <w:sz w:val="20"/>
                <w:szCs w:val="20"/>
                <w:lang w:val="en-US" w:eastAsia="zh-CN" w:bidi="ar"/>
              </w:rPr>
              <w:t>5.属于三类内部事务信息</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lang w:val="en-US" w:eastAsia="zh-CN"/>
              </w:rPr>
            </w:pPr>
            <w:r>
              <w:rPr>
                <w:rFonts w:hint="eastAsia" w:ascii="宋体" w:hAnsi="宋体" w:cs="宋体"/>
                <w:sz w:val="20"/>
                <w:szCs w:val="20"/>
                <w:lang w:val="en-US" w:eastAsia="zh-CN"/>
              </w:rPr>
              <w:t>3</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lang w:val="en-US"/>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lang w:val="en-US"/>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lang w:val="en-US"/>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lang w:val="en-US"/>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lang w:val="en-US"/>
              </w:rPr>
            </w:pPr>
            <w:r>
              <w:rPr>
                <w:rFonts w:hint="eastAsia" w:ascii="宋体" w:hAnsi="宋体" w:eastAsia="宋体" w:cs="宋体"/>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lang w:val="en-US" w:eastAsia="zh-CN"/>
              </w:rPr>
            </w:pPr>
            <w:r>
              <w:rPr>
                <w:rFonts w:hint="eastAsia" w:ascii="宋体" w:hAnsi="宋体" w:cs="宋体"/>
                <w:sz w:val="20"/>
                <w:szCs w:val="20"/>
                <w:lang w:val="en-US" w:eastAsia="zh-CN"/>
              </w:rPr>
              <w:t>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tLeast"/>
              <w:textAlignment w:val="auto"/>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left"/>
              <w:textAlignment w:val="auto"/>
            </w:pPr>
            <w:r>
              <w:rPr>
                <w:rFonts w:hint="eastAsia" w:ascii="宋体" w:hAnsi="宋体" w:eastAsia="宋体" w:cs="宋体"/>
                <w:kern w:val="0"/>
                <w:sz w:val="20"/>
                <w:szCs w:val="20"/>
                <w:lang w:val="en-US" w:eastAsia="zh-CN" w:bidi="ar"/>
              </w:rPr>
              <w:t>6.属于四类过程性信息</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lang w:val="en-US" w:eastAsia="zh-CN"/>
              </w:rPr>
            </w:pPr>
            <w:r>
              <w:rPr>
                <w:rFonts w:hint="eastAsia" w:ascii="宋体" w:hAnsi="宋体" w:cs="宋体"/>
                <w:sz w:val="20"/>
                <w:szCs w:val="20"/>
                <w:lang w:val="en-US" w:eastAsia="zh-CN"/>
              </w:rPr>
              <w:t>2</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lang w:val="en-US"/>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lang w:val="en-US" w:eastAsia="zh-CN"/>
              </w:rPr>
            </w:pPr>
            <w:r>
              <w:rPr>
                <w:rFonts w:hint="eastAsia" w:ascii="宋体" w:hAnsi="宋体" w:cs="宋体"/>
                <w:sz w:val="20"/>
                <w:szCs w:val="20"/>
                <w:lang w:val="en-US" w:eastAsia="zh-CN"/>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tLeast"/>
              <w:textAlignment w:val="auto"/>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left"/>
              <w:textAlignment w:val="auto"/>
            </w:pPr>
            <w:r>
              <w:rPr>
                <w:rFonts w:hint="eastAsia" w:ascii="宋体" w:hAnsi="宋体" w:eastAsia="宋体" w:cs="宋体"/>
                <w:kern w:val="0"/>
                <w:sz w:val="20"/>
                <w:szCs w:val="20"/>
                <w:lang w:val="en-US" w:eastAsia="zh-CN" w:bidi="ar"/>
              </w:rPr>
              <w:t>7.属于行政执法案卷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default" w:ascii="宋体" w:hAnsi="宋体" w:eastAsia="宋体" w:cs="宋体"/>
                <w:sz w:val="20"/>
                <w:szCs w:val="20"/>
                <w:lang w:val="en-US" w:eastAsia="zh-CN"/>
              </w:rPr>
            </w:pPr>
            <w:r>
              <w:rPr>
                <w:rFonts w:hint="eastAsia" w:ascii="宋体" w:hAnsi="宋体" w:cs="宋体"/>
                <w:sz w:val="20"/>
                <w:szCs w:val="20"/>
                <w:lang w:val="en-US" w:eastAsia="zh-CN"/>
              </w:rPr>
              <w:t>10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lang w:val="en-US" w:eastAsia="zh-CN"/>
              </w:rPr>
            </w:pPr>
            <w:r>
              <w:rPr>
                <w:rFonts w:hint="eastAsia" w:ascii="宋体" w:hAnsi="宋体" w:cs="宋体"/>
                <w:sz w:val="20"/>
                <w:szCs w:val="20"/>
                <w:lang w:val="en-US" w:eastAsia="zh-CN"/>
              </w:rPr>
              <w:t>2</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lang w:val="en-US"/>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lang w:val="en-US"/>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lang w:val="en-US"/>
              </w:rPr>
            </w:pPr>
            <w:r>
              <w:rPr>
                <w:rFonts w:hint="eastAsia" w:ascii="宋体" w:hAnsi="宋体" w:eastAsia="宋体" w:cs="宋体"/>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default" w:ascii="宋体" w:hAnsi="宋体" w:eastAsia="宋体" w:cs="宋体"/>
                <w:sz w:val="20"/>
                <w:szCs w:val="20"/>
                <w:lang w:val="en-US" w:eastAsia="zh-CN"/>
              </w:rPr>
            </w:pPr>
            <w:r>
              <w:rPr>
                <w:rFonts w:hint="eastAsia" w:ascii="宋体" w:hAnsi="宋体" w:cs="宋体"/>
                <w:sz w:val="20"/>
                <w:szCs w:val="20"/>
                <w:lang w:val="en-US" w:eastAsia="zh-CN"/>
              </w:rPr>
              <w:t>12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tLeast"/>
              <w:textAlignment w:val="auto"/>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left"/>
              <w:textAlignment w:val="auto"/>
            </w:pPr>
            <w:r>
              <w:rPr>
                <w:rFonts w:hint="eastAsia" w:ascii="宋体" w:hAnsi="宋体" w:eastAsia="宋体" w:cs="宋体"/>
                <w:kern w:val="0"/>
                <w:sz w:val="20"/>
                <w:szCs w:val="20"/>
                <w:lang w:val="en-US" w:eastAsia="zh-CN" w:bidi="ar"/>
              </w:rPr>
              <w:t>8.属于行政查询事项</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lang w:val="en-US" w:eastAsia="zh-CN"/>
              </w:rPr>
            </w:pPr>
            <w:r>
              <w:rPr>
                <w:rFonts w:hint="eastAsia" w:ascii="宋体" w:hAnsi="宋体" w:cs="宋体"/>
                <w:sz w:val="20"/>
                <w:szCs w:val="20"/>
                <w:lang w:val="en-US" w:eastAsia="zh-CN"/>
              </w:rPr>
              <w:t>3</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rPr>
            </w:pPr>
            <w:r>
              <w:rPr>
                <w:rFonts w:hint="eastAsia" w:ascii="宋体" w:hAnsi="宋体" w:eastAsia="宋体" w:cs="宋体"/>
                <w:kern w:val="0"/>
                <w:sz w:val="20"/>
                <w:szCs w:val="20"/>
                <w:lang w:val="en-US" w:eastAsia="zh-CN" w:bidi="ar"/>
              </w:rPr>
              <w:t>1</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lang w:val="en-US"/>
              </w:rPr>
            </w:pPr>
            <w:r>
              <w:rPr>
                <w:rFonts w:hint="eastAsia" w:ascii="宋体" w:hAnsi="宋体" w:eastAsia="宋体" w:cs="宋体"/>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lang w:val="en-US" w:eastAsia="zh-CN"/>
              </w:rPr>
            </w:pPr>
            <w:r>
              <w:rPr>
                <w:rFonts w:hint="eastAsia" w:ascii="宋体" w:hAnsi="宋体" w:cs="宋体"/>
                <w:sz w:val="20"/>
                <w:szCs w:val="20"/>
                <w:lang w:val="en-US" w:eastAsia="zh-CN"/>
              </w:rPr>
              <w:t>4</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DDEBF7"/>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left"/>
              <w:textAlignment w:val="auto"/>
            </w:pPr>
            <w:r>
              <w:rPr>
                <w:rFonts w:hint="eastAsia" w:ascii="宋体" w:hAnsi="宋体" w:eastAsia="宋体" w:cs="宋体"/>
                <w:kern w:val="0"/>
                <w:sz w:val="20"/>
                <w:szCs w:val="20"/>
                <w:lang w:val="en-US" w:eastAsia="zh-CN" w:bidi="ar"/>
              </w:rPr>
              <w:t>（四）无法提供</w:t>
            </w: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left"/>
              <w:textAlignment w:val="auto"/>
            </w:pPr>
            <w:r>
              <w:rPr>
                <w:rFonts w:hint="eastAsia" w:ascii="宋体" w:hAnsi="宋体" w:eastAsia="宋体" w:cs="宋体"/>
                <w:kern w:val="0"/>
                <w:sz w:val="20"/>
                <w:szCs w:val="20"/>
                <w:lang w:val="en-US" w:eastAsia="zh-CN" w:bidi="ar"/>
              </w:rPr>
              <w:t>1.本机关不掌握相关政府信息</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default" w:ascii="宋体" w:hAnsi="宋体" w:eastAsia="宋体" w:cs="宋体"/>
                <w:sz w:val="20"/>
                <w:szCs w:val="20"/>
                <w:lang w:val="en-US"/>
              </w:rPr>
            </w:pPr>
            <w:r>
              <w:rPr>
                <w:rFonts w:hint="eastAsia" w:ascii="宋体" w:hAnsi="宋体" w:eastAsia="宋体" w:cs="宋体"/>
                <w:kern w:val="0"/>
                <w:sz w:val="20"/>
                <w:szCs w:val="20"/>
                <w:lang w:val="en-US" w:eastAsia="zh-CN" w:bidi="ar"/>
              </w:rPr>
              <w:t>3</w:t>
            </w:r>
            <w:r>
              <w:rPr>
                <w:rFonts w:hint="eastAsia" w:ascii="宋体" w:hAnsi="宋体" w:cs="宋体"/>
                <w:kern w:val="0"/>
                <w:sz w:val="20"/>
                <w:szCs w:val="20"/>
                <w:lang w:val="en-US" w:eastAsia="zh-CN" w:bidi="ar"/>
              </w:rPr>
              <w:t>68</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default" w:ascii="宋体" w:hAnsi="宋体" w:eastAsia="宋体" w:cs="宋体"/>
                <w:sz w:val="20"/>
                <w:szCs w:val="20"/>
                <w:lang w:val="en-US" w:eastAsia="zh-CN"/>
              </w:rPr>
            </w:pPr>
            <w:r>
              <w:rPr>
                <w:rFonts w:hint="eastAsia" w:ascii="宋体" w:hAnsi="宋体" w:cs="宋体"/>
                <w:sz w:val="20"/>
                <w:szCs w:val="20"/>
                <w:lang w:val="en-US" w:eastAsia="zh-CN"/>
              </w:rPr>
              <w:t>37</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rPr>
            </w:pPr>
            <w:r>
              <w:rPr>
                <w:rFonts w:hint="eastAsia" w:ascii="宋体" w:hAnsi="宋体" w:eastAsia="宋体" w:cs="宋体"/>
                <w:kern w:val="0"/>
                <w:sz w:val="20"/>
                <w:szCs w:val="20"/>
                <w:lang w:val="en-US" w:eastAsia="zh-CN" w:bidi="ar"/>
              </w:rPr>
              <w:t>4</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lang w:val="en-US" w:eastAsia="zh-CN"/>
              </w:rPr>
            </w:pPr>
            <w:r>
              <w:rPr>
                <w:rFonts w:hint="eastAsia" w:ascii="宋体" w:hAnsi="宋体" w:cs="宋体"/>
                <w:sz w:val="20"/>
                <w:szCs w:val="20"/>
                <w:lang w:val="en-US" w:eastAsia="zh-CN"/>
              </w:rPr>
              <w:t>2</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default" w:ascii="宋体" w:hAnsi="宋体" w:eastAsia="宋体" w:cs="宋体"/>
                <w:sz w:val="20"/>
                <w:szCs w:val="20"/>
                <w:lang w:val="en-US"/>
              </w:rPr>
            </w:pPr>
            <w:r>
              <w:rPr>
                <w:rFonts w:hint="eastAsia" w:ascii="宋体" w:hAnsi="宋体" w:eastAsia="宋体" w:cs="宋体"/>
                <w:kern w:val="0"/>
                <w:sz w:val="20"/>
                <w:szCs w:val="20"/>
                <w:lang w:val="en-US" w:eastAsia="zh-CN" w:bidi="ar"/>
              </w:rPr>
              <w:t>4</w:t>
            </w:r>
            <w:r>
              <w:rPr>
                <w:rFonts w:hint="eastAsia" w:ascii="宋体" w:hAnsi="宋体" w:cs="宋体"/>
                <w:kern w:val="0"/>
                <w:sz w:val="20"/>
                <w:szCs w:val="20"/>
                <w:lang w:val="en-US" w:eastAsia="zh-CN" w:bidi="ar"/>
              </w:rPr>
              <w:t>07</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tLeast"/>
              <w:textAlignment w:val="auto"/>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left"/>
              <w:textAlignment w:val="auto"/>
            </w:pPr>
            <w:r>
              <w:rPr>
                <w:rFonts w:hint="eastAsia" w:ascii="宋体" w:hAnsi="宋体" w:eastAsia="宋体" w:cs="宋体"/>
                <w:kern w:val="0"/>
                <w:sz w:val="20"/>
                <w:szCs w:val="20"/>
                <w:lang w:val="en-US" w:eastAsia="zh-CN" w:bidi="ar"/>
              </w:rPr>
              <w:t>2.没有现成信息需要另行制作</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default" w:ascii="宋体" w:hAnsi="宋体" w:eastAsia="宋体" w:cs="宋体"/>
                <w:sz w:val="20"/>
                <w:szCs w:val="20"/>
                <w:lang w:val="en-US" w:eastAsia="zh-CN"/>
              </w:rPr>
            </w:pPr>
            <w:r>
              <w:rPr>
                <w:rFonts w:hint="eastAsia" w:ascii="宋体" w:hAnsi="宋体" w:cs="宋体"/>
                <w:sz w:val="20"/>
                <w:szCs w:val="20"/>
                <w:lang w:val="en-US" w:eastAsia="zh-CN"/>
              </w:rPr>
              <w:t>10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lang w:val="en-US"/>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default" w:ascii="宋体" w:hAnsi="宋体" w:eastAsia="宋体" w:cs="宋体"/>
                <w:sz w:val="20"/>
                <w:szCs w:val="20"/>
                <w:lang w:val="en-US" w:eastAsia="zh-CN"/>
              </w:rPr>
            </w:pPr>
            <w:r>
              <w:rPr>
                <w:rFonts w:hint="eastAsia" w:ascii="宋体" w:hAnsi="宋体" w:cs="宋体"/>
                <w:sz w:val="20"/>
                <w:szCs w:val="20"/>
                <w:lang w:val="en-US" w:eastAsia="zh-CN"/>
              </w:rPr>
              <w:t>10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tLeast"/>
              <w:textAlignment w:val="auto"/>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left"/>
              <w:textAlignment w:val="auto"/>
            </w:pPr>
            <w:r>
              <w:rPr>
                <w:rFonts w:hint="eastAsia" w:ascii="宋体" w:hAnsi="宋体" w:eastAsia="宋体" w:cs="宋体"/>
                <w:kern w:val="0"/>
                <w:sz w:val="20"/>
                <w:szCs w:val="20"/>
                <w:lang w:val="en-US" w:eastAsia="zh-CN" w:bidi="ar"/>
              </w:rPr>
              <w:t>3.补正后申请内容仍不明确</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lang w:val="en-US"/>
              </w:rPr>
            </w:pPr>
            <w:r>
              <w:rPr>
                <w:rFonts w:hint="eastAsia" w:ascii="宋体" w:hAnsi="宋体" w:eastAsia="宋体" w:cs="宋体"/>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DDEBF7"/>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left"/>
              <w:textAlignment w:val="auto"/>
            </w:pPr>
            <w:r>
              <w:rPr>
                <w:rFonts w:hint="eastAsia" w:ascii="宋体" w:hAnsi="宋体" w:eastAsia="宋体" w:cs="宋体"/>
                <w:kern w:val="0"/>
                <w:sz w:val="20"/>
                <w:szCs w:val="20"/>
                <w:lang w:val="en-US" w:eastAsia="zh-CN" w:bidi="ar"/>
              </w:rPr>
              <w:t>（五）不予处理</w:t>
            </w: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left"/>
              <w:textAlignment w:val="auto"/>
            </w:pPr>
            <w:r>
              <w:rPr>
                <w:rFonts w:hint="eastAsia" w:ascii="宋体" w:hAnsi="宋体" w:eastAsia="宋体" w:cs="宋体"/>
                <w:kern w:val="0"/>
                <w:sz w:val="20"/>
                <w:szCs w:val="20"/>
                <w:lang w:val="en-US" w:eastAsia="zh-CN" w:bidi="ar"/>
              </w:rPr>
              <w:t>1.信访举报投诉类申请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default" w:ascii="宋体" w:hAnsi="宋体" w:eastAsia="宋体" w:cs="宋体"/>
                <w:sz w:val="20"/>
                <w:szCs w:val="20"/>
                <w:lang w:val="en-US" w:eastAsia="zh-CN"/>
              </w:rPr>
            </w:pPr>
            <w:r>
              <w:rPr>
                <w:rFonts w:hint="eastAsia" w:ascii="宋体" w:hAnsi="宋体" w:cs="宋体"/>
                <w:sz w:val="20"/>
                <w:szCs w:val="20"/>
                <w:lang w:val="en-US" w:eastAsia="zh-CN"/>
              </w:rPr>
              <w:t>31</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lang w:val="en-US" w:eastAsia="zh-CN"/>
              </w:rPr>
            </w:pPr>
            <w:r>
              <w:rPr>
                <w:rFonts w:hint="eastAsia" w:ascii="宋体" w:hAnsi="宋体" w:cs="宋体"/>
                <w:sz w:val="20"/>
                <w:szCs w:val="2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lang w:val="en-US"/>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default" w:ascii="宋体" w:hAnsi="宋体" w:eastAsia="宋体" w:cs="宋体"/>
                <w:sz w:val="20"/>
                <w:szCs w:val="20"/>
                <w:lang w:val="en-US" w:eastAsia="zh-CN"/>
              </w:rPr>
            </w:pPr>
            <w:r>
              <w:rPr>
                <w:rFonts w:hint="eastAsia" w:ascii="宋体" w:hAnsi="宋体" w:cs="宋体"/>
                <w:sz w:val="20"/>
                <w:szCs w:val="20"/>
                <w:lang w:val="en-US" w:eastAsia="zh-CN"/>
              </w:rPr>
              <w:t>31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tLeast"/>
              <w:textAlignment w:val="auto"/>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left"/>
              <w:textAlignment w:val="auto"/>
            </w:pPr>
            <w:r>
              <w:rPr>
                <w:rFonts w:hint="eastAsia" w:ascii="宋体" w:hAnsi="宋体" w:eastAsia="宋体" w:cs="宋体"/>
                <w:kern w:val="0"/>
                <w:sz w:val="20"/>
                <w:szCs w:val="20"/>
                <w:lang w:val="en-US" w:eastAsia="zh-CN" w:bidi="ar"/>
              </w:rPr>
              <w:t>2.重复申请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lang w:val="en-US" w:eastAsia="zh-CN"/>
              </w:rPr>
            </w:pPr>
            <w:r>
              <w:rPr>
                <w:rFonts w:hint="eastAsia" w:ascii="宋体" w:hAnsi="宋体" w:cs="宋体"/>
                <w:sz w:val="20"/>
                <w:szCs w:val="20"/>
                <w:lang w:val="en-US" w:eastAsia="zh-CN"/>
              </w:rPr>
              <w:t>6</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lang w:val="en-US"/>
              </w:rPr>
            </w:pPr>
            <w:r>
              <w:rPr>
                <w:rFonts w:hint="eastAsia" w:ascii="宋体" w:hAnsi="宋体" w:eastAsia="宋体" w:cs="宋体"/>
                <w:kern w:val="0"/>
                <w:sz w:val="20"/>
                <w:szCs w:val="20"/>
                <w:lang w:val="en-US" w:eastAsia="zh-CN" w:bidi="ar"/>
              </w:rPr>
              <w:t>1</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lang w:val="en-US"/>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lang w:val="en-US"/>
              </w:rPr>
            </w:pPr>
            <w:r>
              <w:rPr>
                <w:rFonts w:hint="eastAsia" w:ascii="宋体" w:hAnsi="宋体" w:eastAsia="宋体" w:cs="宋体"/>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lang w:val="en-US" w:eastAsia="zh-CN"/>
              </w:rPr>
            </w:pPr>
            <w:r>
              <w:rPr>
                <w:rFonts w:hint="eastAsia" w:ascii="宋体" w:hAnsi="宋体" w:cs="宋体"/>
                <w:sz w:val="20"/>
                <w:szCs w:val="20"/>
                <w:lang w:val="en-US" w:eastAsia="zh-CN"/>
              </w:rPr>
              <w:t>6</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tLeast"/>
              <w:textAlignment w:val="auto"/>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left"/>
              <w:textAlignment w:val="auto"/>
            </w:pPr>
            <w:r>
              <w:rPr>
                <w:rFonts w:hint="eastAsia" w:ascii="宋体" w:hAnsi="宋体" w:eastAsia="宋体" w:cs="宋体"/>
                <w:kern w:val="0"/>
                <w:sz w:val="20"/>
                <w:szCs w:val="20"/>
                <w:lang w:val="en-US" w:eastAsia="zh-CN" w:bidi="ar"/>
              </w:rPr>
              <w:t>3.要求提供公开出版物</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lang w:val="en-US"/>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lang w:val="en-US"/>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lang w:val="en-US"/>
              </w:rPr>
            </w:pPr>
            <w:r>
              <w:rPr>
                <w:rFonts w:hint="eastAsia" w:ascii="宋体" w:hAnsi="宋体" w:eastAsia="宋体" w:cs="宋体"/>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lang w:val="en-US"/>
              </w:rPr>
            </w:pPr>
            <w:r>
              <w:rPr>
                <w:rFonts w:hint="eastAsia" w:ascii="宋体" w:hAnsi="宋体" w:eastAsia="宋体" w:cs="宋体"/>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tLeast"/>
              <w:textAlignment w:val="auto"/>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left"/>
              <w:textAlignment w:val="auto"/>
            </w:pPr>
            <w:r>
              <w:rPr>
                <w:rFonts w:hint="eastAsia" w:ascii="宋体" w:hAnsi="宋体" w:eastAsia="宋体" w:cs="宋体"/>
                <w:kern w:val="0"/>
                <w:sz w:val="20"/>
                <w:szCs w:val="20"/>
                <w:lang w:val="en-US" w:eastAsia="zh-CN" w:bidi="ar"/>
              </w:rPr>
              <w:t>4.无正当理由大量反复申请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lang w:val="en-US" w:eastAsia="zh-CN"/>
              </w:rPr>
            </w:pPr>
            <w:r>
              <w:rPr>
                <w:rFonts w:hint="eastAsia" w:ascii="宋体" w:hAnsi="宋体" w:cs="宋体"/>
                <w:sz w:val="20"/>
                <w:szCs w:val="2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lang w:val="en-US" w:eastAsia="zh-CN"/>
              </w:rPr>
            </w:pPr>
            <w:r>
              <w:rPr>
                <w:rFonts w:hint="eastAsia" w:ascii="宋体" w:hAnsi="宋体" w:cs="宋体"/>
                <w:sz w:val="20"/>
                <w:szCs w:val="2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lang w:val="en-US"/>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lang w:val="en-US"/>
              </w:rPr>
            </w:pPr>
            <w:r>
              <w:rPr>
                <w:rFonts w:hint="eastAsia" w:ascii="宋体" w:hAnsi="宋体" w:eastAsia="宋体" w:cs="宋体"/>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lang w:val="en-US" w:eastAsia="zh-CN"/>
              </w:rPr>
            </w:pPr>
            <w:r>
              <w:rPr>
                <w:rFonts w:hint="eastAsia" w:ascii="宋体" w:hAnsi="宋体" w:cs="宋体"/>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777" w:hRule="atLeast"/>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tLeast"/>
              <w:textAlignment w:val="auto"/>
              <w:rPr>
                <w:rFonts w:hint="eastAsia" w:ascii="宋体"/>
                <w:sz w:val="24"/>
                <w:szCs w:val="24"/>
              </w:rPr>
            </w:pPr>
          </w:p>
        </w:tc>
        <w:tc>
          <w:tcPr>
            <w:tcW w:w="3220" w:type="dxa"/>
            <w:tcBorders>
              <w:top w:val="nil"/>
              <w:left w:val="nil"/>
              <w:bottom w:val="outset" w:color="auto" w:sz="8" w:space="0"/>
              <w:right w:val="single" w:color="auto" w:sz="8" w:space="0"/>
            </w:tcBorders>
            <w:shd w:val="clear" w:color="auto" w:fill="DDEBF7"/>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both"/>
              <w:textAlignment w:val="auto"/>
            </w:pPr>
            <w:r>
              <w:rPr>
                <w:rFonts w:hint="eastAsia" w:ascii="宋体" w:hAnsi="宋体" w:eastAsia="宋体" w:cs="宋体"/>
                <w:kern w:val="0"/>
                <w:sz w:val="20"/>
                <w:szCs w:val="20"/>
                <w:lang w:val="en-US" w:eastAsia="zh-CN" w:bidi="ar"/>
              </w:rPr>
              <w:t>5.要求行政机关确认或重新出具已获取信息</w:t>
            </w:r>
          </w:p>
        </w:tc>
        <w:tc>
          <w:tcPr>
            <w:tcW w:w="688"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lang w:val="en-US"/>
              </w:rPr>
            </w:pPr>
            <w:r>
              <w:rPr>
                <w:rFonts w:hint="eastAsia" w:ascii="宋体" w:hAnsi="宋体" w:eastAsia="宋体" w:cs="宋体"/>
                <w:kern w:val="0"/>
                <w:sz w:val="20"/>
                <w:szCs w:val="20"/>
                <w:lang w:val="en-US" w:eastAsia="zh-CN" w:bidi="ar"/>
              </w:rPr>
              <w:t>0</w:t>
            </w:r>
          </w:p>
        </w:tc>
        <w:tc>
          <w:tcPr>
            <w:tcW w:w="688"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lang w:val="en-US"/>
              </w:rPr>
            </w:pPr>
            <w:r>
              <w:rPr>
                <w:rFonts w:hint="eastAsia" w:ascii="宋体" w:hAnsi="宋体" w:eastAsia="宋体" w:cs="宋体"/>
                <w:kern w:val="0"/>
                <w:sz w:val="20"/>
                <w:szCs w:val="20"/>
                <w:lang w:val="en-US" w:eastAsia="zh-CN" w:bidi="ar"/>
              </w:rPr>
              <w:t>0</w:t>
            </w:r>
          </w:p>
        </w:tc>
        <w:tc>
          <w:tcPr>
            <w:tcW w:w="688"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lang w:val="en-US"/>
              </w:rPr>
            </w:pPr>
            <w:r>
              <w:rPr>
                <w:rFonts w:hint="eastAsia" w:ascii="宋体" w:hAnsi="宋体" w:eastAsia="宋体" w:cs="宋体"/>
                <w:kern w:val="0"/>
                <w:sz w:val="20"/>
                <w:szCs w:val="20"/>
                <w:lang w:val="en-US" w:eastAsia="zh-CN" w:bidi="ar"/>
              </w:rPr>
              <w:t>0</w:t>
            </w:r>
          </w:p>
        </w:tc>
        <w:tc>
          <w:tcPr>
            <w:tcW w:w="688"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lang w:val="en-US"/>
              </w:rPr>
            </w:pPr>
            <w:r>
              <w:rPr>
                <w:rFonts w:hint="eastAsia" w:ascii="宋体" w:hAnsi="宋体" w:eastAsia="宋体" w:cs="宋体"/>
                <w:kern w:val="0"/>
                <w:sz w:val="20"/>
                <w:szCs w:val="20"/>
                <w:lang w:val="en-US" w:eastAsia="zh-CN" w:bidi="ar"/>
              </w:rPr>
              <w:t>0</w:t>
            </w:r>
          </w:p>
        </w:tc>
        <w:tc>
          <w:tcPr>
            <w:tcW w:w="689"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lang w:val="en-US"/>
              </w:rPr>
            </w:pPr>
            <w:r>
              <w:rPr>
                <w:rFonts w:hint="eastAsia" w:ascii="宋体" w:hAnsi="宋体" w:eastAsia="宋体" w:cs="宋体"/>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0" w:hRule="atLeast"/>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943" w:type="dxa"/>
            <w:vMerge w:val="restart"/>
            <w:tcBorders>
              <w:top w:val="outset" w:color="auto" w:sz="8" w:space="0"/>
              <w:left w:val="nil"/>
              <w:bottom w:val="outset" w:color="auto" w:sz="8" w:space="0"/>
              <w:right w:val="single" w:color="auto" w:sz="8" w:space="0"/>
            </w:tcBorders>
            <w:shd w:val="clear" w:color="auto" w:fill="DDEBF7"/>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left"/>
              <w:textAlignment w:val="auto"/>
            </w:pPr>
            <w:r>
              <w:rPr>
                <w:rFonts w:hint="eastAsia" w:ascii="宋体" w:hAnsi="宋体" w:eastAsia="宋体" w:cs="宋体"/>
                <w:kern w:val="0"/>
                <w:sz w:val="20"/>
                <w:szCs w:val="20"/>
                <w:lang w:val="en-US" w:eastAsia="zh-CN" w:bidi="ar"/>
              </w:rPr>
              <w:t>（六）其他处理</w:t>
            </w: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both"/>
              <w:textAlignment w:val="auto"/>
            </w:pPr>
            <w:r>
              <w:rPr>
                <w:rFonts w:hint="eastAsia" w:ascii="宋体" w:hAnsi="宋体" w:eastAsia="宋体" w:cs="宋体"/>
                <w:kern w:val="0"/>
                <w:sz w:val="20"/>
                <w:szCs w:val="20"/>
                <w:lang w:val="en-US" w:eastAsia="zh-CN" w:bidi="ar"/>
              </w:rPr>
              <w:t>1.申请人无正当理由逾期不补正、行政机关不再处理其政府信息公开申请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lang w:val="en-US" w:eastAsia="zh-CN"/>
              </w:rPr>
            </w:pPr>
            <w:r>
              <w:rPr>
                <w:rFonts w:hint="eastAsia" w:ascii="宋体" w:hAnsi="宋体" w:cs="宋体"/>
                <w:sz w:val="20"/>
                <w:szCs w:val="20"/>
                <w:lang w:val="en-US" w:eastAsia="zh-CN"/>
              </w:rPr>
              <w:t>4</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lang w:val="en-US" w:eastAsia="zh-CN"/>
              </w:rPr>
            </w:pPr>
            <w:r>
              <w:rPr>
                <w:rFonts w:hint="eastAsia" w:ascii="宋体" w:hAnsi="宋体" w:cs="宋体"/>
                <w:sz w:val="20"/>
                <w:szCs w:val="2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lang w:val="en-US"/>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lang w:val="en-US"/>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lang w:val="en-US" w:eastAsia="zh-CN"/>
              </w:rPr>
            </w:pPr>
            <w:r>
              <w:rPr>
                <w:rFonts w:hint="eastAsia" w:ascii="宋体" w:hAnsi="宋体" w:cs="宋体"/>
                <w:sz w:val="20"/>
                <w:szCs w:val="20"/>
                <w:lang w:val="en-US" w:eastAsia="zh-CN"/>
              </w:rPr>
              <w:t>4</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0" w:hRule="atLeast"/>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943" w:type="dxa"/>
            <w:vMerge w:val="continue"/>
            <w:tcBorders>
              <w:top w:val="outset" w:color="auto" w:sz="8" w:space="0"/>
              <w:left w:val="nil"/>
              <w:bottom w:val="outset" w:color="auto" w:sz="8" w:space="0"/>
              <w:right w:val="single" w:color="auto" w:sz="8" w:space="0"/>
            </w:tcBorders>
            <w:shd w:val="clear" w:color="auto" w:fill="DDEBF7"/>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tLeast"/>
              <w:textAlignment w:val="auto"/>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both"/>
              <w:textAlignment w:val="auto"/>
            </w:pPr>
            <w:r>
              <w:rPr>
                <w:rFonts w:hint="eastAsia" w:ascii="宋体" w:hAnsi="宋体" w:eastAsia="宋体" w:cs="宋体"/>
                <w:kern w:val="0"/>
                <w:sz w:val="20"/>
                <w:szCs w:val="20"/>
                <w:lang w:val="en-US" w:eastAsia="zh-CN" w:bidi="ar"/>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lang w:val="en-US" w:eastAsia="zh-CN"/>
              </w:rPr>
            </w:pPr>
            <w:r>
              <w:rPr>
                <w:rFonts w:hint="eastAsia" w:ascii="宋体" w:hAnsi="宋体" w:cs="宋体"/>
                <w:sz w:val="20"/>
                <w:szCs w:val="20"/>
                <w:lang w:val="en-US" w:eastAsia="zh-CN"/>
              </w:rPr>
              <w:t>2</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lang w:val="en-US"/>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lang w:val="en-US"/>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lang w:val="en-US"/>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lang w:val="en-US"/>
              </w:rPr>
            </w:pPr>
            <w:r>
              <w:rPr>
                <w:rFonts w:hint="eastAsia" w:ascii="宋体" w:hAnsi="宋体" w:eastAsia="宋体" w:cs="宋体"/>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lang w:val="en-US" w:eastAsia="zh-CN"/>
              </w:rPr>
            </w:pPr>
            <w:r>
              <w:rPr>
                <w:rFonts w:hint="eastAsia" w:ascii="宋体" w:hAnsi="宋体" w:cs="宋体"/>
                <w:sz w:val="20"/>
                <w:szCs w:val="20"/>
                <w:lang w:val="en-US" w:eastAsia="zh-CN"/>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943" w:type="dxa"/>
            <w:vMerge w:val="continue"/>
            <w:tcBorders>
              <w:top w:val="outset" w:color="auto" w:sz="8" w:space="0"/>
              <w:left w:val="nil"/>
              <w:bottom w:val="outset" w:color="auto" w:sz="8" w:space="0"/>
              <w:right w:val="single" w:color="auto" w:sz="8" w:space="0"/>
            </w:tcBorders>
            <w:shd w:val="clear" w:color="auto" w:fill="DDEBF7"/>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tLeast"/>
              <w:textAlignment w:val="auto"/>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left"/>
              <w:textAlignment w:val="auto"/>
            </w:pPr>
            <w:r>
              <w:rPr>
                <w:rFonts w:hint="eastAsia" w:ascii="宋体" w:hAnsi="宋体" w:eastAsia="宋体" w:cs="宋体"/>
                <w:kern w:val="0"/>
                <w:sz w:val="20"/>
                <w:szCs w:val="20"/>
                <w:lang w:val="en-US" w:eastAsia="zh-CN" w:bidi="ar"/>
              </w:rPr>
              <w:t>3.其他</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default" w:ascii="宋体" w:hAnsi="宋体" w:eastAsia="宋体" w:cs="宋体"/>
                <w:sz w:val="20"/>
                <w:szCs w:val="20"/>
                <w:lang w:val="en-US" w:eastAsia="zh-CN"/>
              </w:rPr>
            </w:pPr>
            <w:r>
              <w:rPr>
                <w:rFonts w:hint="eastAsia" w:ascii="宋体" w:hAnsi="宋体" w:cs="宋体"/>
                <w:sz w:val="20"/>
                <w:szCs w:val="20"/>
                <w:lang w:val="en-US" w:eastAsia="zh-CN"/>
              </w:rPr>
              <w:t>18</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lang w:val="en-US" w:eastAsia="zh-CN"/>
              </w:rPr>
            </w:pPr>
            <w:r>
              <w:rPr>
                <w:rFonts w:hint="eastAsia" w:ascii="宋体" w:hAnsi="宋体" w:cs="宋体"/>
                <w:sz w:val="20"/>
                <w:szCs w:val="20"/>
                <w:lang w:val="en-US" w:eastAsia="zh-CN"/>
              </w:rPr>
              <w:t>1</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lang w:val="en-US"/>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default" w:ascii="宋体" w:hAnsi="宋体" w:eastAsia="宋体" w:cs="宋体"/>
                <w:sz w:val="20"/>
                <w:szCs w:val="20"/>
                <w:lang w:val="en-US" w:eastAsia="zh-CN"/>
              </w:rPr>
            </w:pPr>
            <w:r>
              <w:rPr>
                <w:rFonts w:hint="eastAsia" w:ascii="宋体" w:hAnsi="宋体" w:cs="宋体"/>
                <w:sz w:val="20"/>
                <w:szCs w:val="20"/>
                <w:lang w:val="en-US" w:eastAsia="zh-CN"/>
              </w:rPr>
              <w:t>19</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4163" w:type="dxa"/>
            <w:gridSpan w:val="2"/>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left"/>
              <w:textAlignment w:val="auto"/>
            </w:pPr>
            <w:r>
              <w:rPr>
                <w:rFonts w:hint="eastAsia" w:ascii="宋体" w:hAnsi="宋体" w:eastAsia="宋体" w:cs="宋体"/>
                <w:kern w:val="0"/>
                <w:sz w:val="20"/>
                <w:szCs w:val="20"/>
                <w:lang w:val="en-US" w:eastAsia="zh-CN" w:bidi="ar"/>
              </w:rPr>
              <w:t>（七）总计</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default" w:ascii="宋体" w:hAnsi="宋体" w:eastAsia="宋体" w:cs="宋体"/>
                <w:sz w:val="20"/>
                <w:szCs w:val="20"/>
                <w:lang w:val="en-US"/>
              </w:rPr>
            </w:pPr>
            <w:r>
              <w:rPr>
                <w:rFonts w:hint="eastAsia" w:ascii="宋体" w:hAnsi="宋体" w:eastAsia="宋体" w:cs="宋体"/>
                <w:kern w:val="0"/>
                <w:sz w:val="20"/>
                <w:szCs w:val="20"/>
                <w:lang w:val="en-US" w:eastAsia="zh-CN" w:bidi="ar"/>
              </w:rPr>
              <w:t>7</w:t>
            </w:r>
            <w:r>
              <w:rPr>
                <w:rFonts w:hint="eastAsia" w:ascii="宋体" w:hAnsi="宋体" w:cs="宋体"/>
                <w:kern w:val="0"/>
                <w:sz w:val="20"/>
                <w:szCs w:val="20"/>
                <w:lang w:val="en-US" w:eastAsia="zh-CN" w:bidi="ar"/>
              </w:rPr>
              <w:t>79</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default" w:ascii="宋体" w:hAnsi="宋体" w:eastAsia="宋体" w:cs="宋体"/>
                <w:sz w:val="20"/>
                <w:szCs w:val="20"/>
                <w:lang w:val="en-US" w:eastAsia="zh-CN"/>
              </w:rPr>
            </w:pPr>
            <w:r>
              <w:rPr>
                <w:rFonts w:hint="eastAsia" w:ascii="宋体" w:hAnsi="宋体" w:cs="宋体"/>
                <w:sz w:val="20"/>
                <w:szCs w:val="20"/>
                <w:lang w:val="en-US" w:eastAsia="zh-CN"/>
              </w:rPr>
              <w:t>71</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lang w:val="en-US"/>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lang w:val="en-US" w:eastAsia="zh-CN"/>
              </w:rPr>
            </w:pPr>
            <w:r>
              <w:rPr>
                <w:rFonts w:hint="eastAsia" w:ascii="宋体" w:hAnsi="宋体" w:cs="宋体"/>
                <w:sz w:val="20"/>
                <w:szCs w:val="2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lang w:val="en-US"/>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lang w:val="en-US" w:eastAsia="zh-CN"/>
              </w:rPr>
            </w:pPr>
            <w:r>
              <w:rPr>
                <w:rFonts w:hint="eastAsia" w:ascii="宋体" w:hAnsi="宋体" w:cs="宋体"/>
                <w:sz w:val="20"/>
                <w:szCs w:val="20"/>
                <w:lang w:val="en-US" w:eastAsia="zh-CN"/>
              </w:rPr>
              <w:t>5</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default" w:ascii="宋体" w:hAnsi="宋体" w:eastAsia="宋体" w:cs="宋体"/>
                <w:sz w:val="20"/>
                <w:szCs w:val="20"/>
                <w:lang w:val="en-US"/>
              </w:rPr>
            </w:pPr>
            <w:r>
              <w:rPr>
                <w:rFonts w:hint="eastAsia" w:ascii="宋体" w:hAnsi="宋体" w:eastAsia="宋体" w:cs="宋体"/>
                <w:kern w:val="0"/>
                <w:sz w:val="20"/>
                <w:szCs w:val="20"/>
                <w:lang w:val="en-US" w:eastAsia="zh-CN" w:bidi="ar"/>
              </w:rPr>
              <w:t>8</w:t>
            </w:r>
            <w:r>
              <w:rPr>
                <w:rFonts w:hint="eastAsia" w:ascii="宋体" w:hAnsi="宋体" w:cs="宋体"/>
                <w:kern w:val="0"/>
                <w:sz w:val="20"/>
                <w:szCs w:val="20"/>
                <w:lang w:val="en-US" w:eastAsia="zh-CN" w:bidi="ar"/>
              </w:rPr>
              <w:t>55</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left"/>
              <w:textAlignment w:val="auto"/>
            </w:pPr>
            <w:r>
              <w:rPr>
                <w:rFonts w:hint="eastAsia" w:ascii="宋体" w:hAnsi="宋体" w:eastAsia="宋体" w:cs="宋体"/>
                <w:kern w:val="0"/>
                <w:sz w:val="20"/>
                <w:szCs w:val="20"/>
                <w:lang w:val="en-US" w:eastAsia="zh-CN" w:bidi="ar"/>
              </w:rPr>
              <w:t>四、结转下年度继续办理</w:t>
            </w:r>
          </w:p>
        </w:tc>
        <w:tc>
          <w:tcPr>
            <w:tcW w:w="688" w:type="dxa"/>
            <w:tcBorders>
              <w:top w:val="outset" w:color="auto" w:sz="6" w:space="0"/>
              <w:left w:val="nil"/>
              <w:bottom w:val="outset" w:color="auto" w:sz="6" w:space="0"/>
              <w:right w:val="outset" w:color="auto" w:sz="6" w:space="0"/>
            </w:tcBorders>
            <w:noWrap w:val="0"/>
            <w:vAlign w:val="center"/>
          </w:tcPr>
          <w:p>
            <w:pPr>
              <w:keepNext w:val="0"/>
              <w:keepLines w:val="0"/>
              <w:pageBreakBefore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z w:val="20"/>
                <w:szCs w:val="20"/>
                <w:lang w:val="en-US" w:eastAsia="zh-CN"/>
              </w:rPr>
            </w:pPr>
            <w:r>
              <w:rPr>
                <w:rFonts w:hint="eastAsia" w:ascii="宋体" w:hAnsi="宋体" w:cs="宋体"/>
                <w:sz w:val="20"/>
                <w:szCs w:val="20"/>
                <w:lang w:val="en-US" w:eastAsia="zh-CN"/>
              </w:rPr>
              <w:t>18</w:t>
            </w:r>
          </w:p>
        </w:tc>
        <w:tc>
          <w:tcPr>
            <w:tcW w:w="688" w:type="dxa"/>
            <w:tcBorders>
              <w:top w:val="outset" w:color="auto" w:sz="6" w:space="0"/>
              <w:left w:val="nil"/>
              <w:bottom w:val="outset" w:color="auto" w:sz="6" w:space="0"/>
              <w:right w:val="outset" w:color="auto" w:sz="6" w:space="0"/>
            </w:tcBorders>
            <w:noWrap w:val="0"/>
            <w:vAlign w:val="center"/>
          </w:tcPr>
          <w:p>
            <w:pPr>
              <w:keepNext w:val="0"/>
              <w:keepLines w:val="0"/>
              <w:pageBreakBefore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z w:val="20"/>
                <w:szCs w:val="20"/>
                <w:lang w:val="en-US" w:eastAsia="zh-CN"/>
              </w:rPr>
            </w:pPr>
            <w:r>
              <w:rPr>
                <w:rFonts w:hint="eastAsia" w:ascii="宋体" w:hAnsi="宋体" w:cs="宋体"/>
                <w:sz w:val="20"/>
                <w:szCs w:val="20"/>
                <w:lang w:val="en-US" w:eastAsia="zh-CN"/>
              </w:rPr>
              <w:t>5</w:t>
            </w:r>
          </w:p>
        </w:tc>
        <w:tc>
          <w:tcPr>
            <w:tcW w:w="688" w:type="dxa"/>
            <w:tcBorders>
              <w:top w:val="outset" w:color="auto" w:sz="6" w:space="0"/>
              <w:left w:val="nil"/>
              <w:bottom w:val="outset" w:color="auto" w:sz="6" w:space="0"/>
              <w:right w:val="outset" w:color="auto" w:sz="6" w:space="0"/>
            </w:tcBorders>
            <w:noWrap w:val="0"/>
            <w:vAlign w:val="center"/>
          </w:tcPr>
          <w:p>
            <w:pPr>
              <w:keepNext w:val="0"/>
              <w:keepLines w:val="0"/>
              <w:pageBreakBefore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0</w:t>
            </w:r>
          </w:p>
        </w:tc>
        <w:tc>
          <w:tcPr>
            <w:tcW w:w="688" w:type="dxa"/>
            <w:tcBorders>
              <w:top w:val="outset" w:color="auto" w:sz="6" w:space="0"/>
              <w:left w:val="nil"/>
              <w:bottom w:val="outset" w:color="auto" w:sz="6" w:space="0"/>
              <w:right w:val="outset" w:color="auto" w:sz="6" w:space="0"/>
            </w:tcBorders>
            <w:noWrap w:val="0"/>
            <w:vAlign w:val="center"/>
          </w:tcPr>
          <w:p>
            <w:pPr>
              <w:keepNext w:val="0"/>
              <w:keepLines w:val="0"/>
              <w:pageBreakBefore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0</w:t>
            </w:r>
          </w:p>
        </w:tc>
        <w:tc>
          <w:tcPr>
            <w:tcW w:w="688" w:type="dxa"/>
            <w:tcBorders>
              <w:top w:val="outset" w:color="auto" w:sz="6" w:space="0"/>
              <w:left w:val="nil"/>
              <w:bottom w:val="outset" w:color="auto" w:sz="6" w:space="0"/>
              <w:right w:val="outset" w:color="auto" w:sz="6" w:space="0"/>
            </w:tcBorders>
            <w:noWrap w:val="0"/>
            <w:vAlign w:val="center"/>
          </w:tcPr>
          <w:p>
            <w:pPr>
              <w:keepNext w:val="0"/>
              <w:keepLines w:val="0"/>
              <w:pageBreakBefore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0</w:t>
            </w:r>
          </w:p>
        </w:tc>
        <w:tc>
          <w:tcPr>
            <w:tcW w:w="688" w:type="dxa"/>
            <w:tcBorders>
              <w:top w:val="outset" w:color="auto" w:sz="6" w:space="0"/>
              <w:left w:val="nil"/>
              <w:bottom w:val="outset" w:color="auto" w:sz="6" w:space="0"/>
              <w:right w:val="outset" w:color="auto" w:sz="6" w:space="0"/>
            </w:tcBorders>
            <w:noWrap w:val="0"/>
            <w:vAlign w:val="center"/>
          </w:tcPr>
          <w:p>
            <w:pPr>
              <w:keepNext w:val="0"/>
              <w:keepLines w:val="0"/>
              <w:pageBreakBefore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0</w:t>
            </w:r>
          </w:p>
        </w:tc>
        <w:tc>
          <w:tcPr>
            <w:tcW w:w="689" w:type="dxa"/>
            <w:tcBorders>
              <w:top w:val="outset" w:color="auto" w:sz="6" w:space="0"/>
              <w:left w:val="nil"/>
              <w:bottom w:val="outset" w:color="auto" w:sz="6" w:space="0"/>
              <w:right w:val="outset" w:color="auto" w:sz="6" w:space="0"/>
            </w:tcBorders>
            <w:noWrap w:val="0"/>
            <w:vAlign w:val="center"/>
          </w:tcPr>
          <w:p>
            <w:pPr>
              <w:keepNext w:val="0"/>
              <w:keepLines w:val="0"/>
              <w:pageBreakBefore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z w:val="20"/>
                <w:szCs w:val="20"/>
                <w:lang w:val="en-US" w:eastAsia="zh-CN"/>
              </w:rPr>
            </w:pPr>
            <w:r>
              <w:rPr>
                <w:rFonts w:hint="eastAsia" w:ascii="宋体" w:hAnsi="宋体" w:cs="宋体"/>
                <w:sz w:val="20"/>
                <w:szCs w:val="20"/>
                <w:lang w:val="en-US" w:eastAsia="zh-CN"/>
              </w:rPr>
              <w:t>23</w:t>
            </w:r>
          </w:p>
        </w:tc>
      </w:tr>
    </w:tbl>
    <w:p>
      <w:pPr>
        <w:pStyle w:val="2"/>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eastAsia"/>
        </w:rPr>
      </w:pPr>
    </w:p>
    <w:p>
      <w:pPr>
        <w:keepNext w:val="0"/>
        <w:keepLines w:val="0"/>
        <w:pageBreakBefore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政府信息公开行政复议、行政诉讼情况</w:t>
      </w:r>
    </w:p>
    <w:p>
      <w:pPr>
        <w:pStyle w:val="2"/>
        <w:numPr>
          <w:ilvl w:val="0"/>
          <w:numId w:val="0"/>
        </w:numPr>
        <w:ind w:leftChars="200"/>
      </w:pPr>
    </w:p>
    <w:tbl>
      <w:tblPr>
        <w:tblStyle w:val="6"/>
        <w:tblW w:w="9748" w:type="dxa"/>
        <w:jc w:val="center"/>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547" w:hRule="atLeast"/>
          <w:jc w:val="center"/>
        </w:trPr>
        <w:tc>
          <w:tcPr>
            <w:tcW w:w="3245" w:type="dxa"/>
            <w:gridSpan w:val="5"/>
            <w:tcBorders>
              <w:top w:val="single" w:color="auto" w:sz="8" w:space="0"/>
              <w:left w:val="single" w:color="auto" w:sz="8" w:space="0"/>
              <w:bottom w:val="single" w:color="auto" w:sz="8" w:space="0"/>
              <w:right w:val="single" w:color="auto" w:sz="8" w:space="0"/>
            </w:tcBorders>
            <w:shd w:val="clear" w:color="auto" w:fill="BDD7EE"/>
            <w:noWrap w:val="0"/>
            <w:tcMar>
              <w:left w:w="108" w:type="dxa"/>
              <w:right w:w="108"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firstLine="0"/>
              <w:jc w:val="center"/>
              <w:textAlignment w:val="auto"/>
            </w:pPr>
            <w:r>
              <w:rPr>
                <w:rFonts w:hint="eastAsia" w:ascii="宋体" w:hAnsi="宋体" w:eastAsia="宋体" w:cs="宋体"/>
                <w:kern w:val="0"/>
                <w:sz w:val="20"/>
                <w:szCs w:val="20"/>
                <w:lang w:val="en-US" w:eastAsia="zh-CN" w:bidi="ar"/>
              </w:rPr>
              <w:t>行政复议</w:t>
            </w:r>
          </w:p>
        </w:tc>
        <w:tc>
          <w:tcPr>
            <w:tcW w:w="6503" w:type="dxa"/>
            <w:gridSpan w:val="10"/>
            <w:tcBorders>
              <w:top w:val="single" w:color="auto" w:sz="8" w:space="0"/>
              <w:left w:val="single" w:color="auto" w:sz="8" w:space="0"/>
              <w:bottom w:val="single" w:color="auto" w:sz="8" w:space="0"/>
              <w:right w:val="single" w:color="auto" w:sz="8" w:space="0"/>
            </w:tcBorders>
            <w:shd w:val="clear" w:color="auto" w:fill="BDD7EE"/>
            <w:noWrap w:val="0"/>
            <w:tcMar>
              <w:left w:w="108" w:type="dxa"/>
              <w:right w:w="108"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firstLine="0"/>
              <w:jc w:val="center"/>
              <w:textAlignment w:val="auto"/>
            </w:pPr>
            <w:r>
              <w:rPr>
                <w:rFonts w:hint="eastAsia" w:ascii="宋体" w:hAnsi="宋体" w:eastAsia="宋体" w:cs="宋体"/>
                <w:kern w:val="0"/>
                <w:sz w:val="20"/>
                <w:szCs w:val="20"/>
                <w:lang w:val="en-US" w:eastAsia="zh-CN"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582" w:hRule="atLeast"/>
          <w:jc w:val="center"/>
        </w:trPr>
        <w:tc>
          <w:tcPr>
            <w:tcW w:w="649" w:type="dxa"/>
            <w:vMerge w:val="restart"/>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firstLine="0"/>
              <w:jc w:val="center"/>
              <w:textAlignment w:val="auto"/>
            </w:pPr>
            <w:r>
              <w:rPr>
                <w:rFonts w:hint="eastAsia" w:ascii="宋体" w:hAnsi="宋体" w:eastAsia="宋体" w:cs="宋体"/>
                <w:kern w:val="0"/>
                <w:sz w:val="20"/>
                <w:szCs w:val="20"/>
                <w:lang w:val="en-US" w:eastAsia="zh-CN" w:bidi="ar"/>
              </w:rPr>
              <w:t>结果维持</w:t>
            </w:r>
          </w:p>
        </w:tc>
        <w:tc>
          <w:tcPr>
            <w:tcW w:w="649" w:type="dxa"/>
            <w:vMerge w:val="restart"/>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firstLine="0"/>
              <w:jc w:val="center"/>
              <w:textAlignment w:val="auto"/>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firstLine="0"/>
              <w:jc w:val="center"/>
              <w:textAlignment w:val="auto"/>
            </w:pPr>
            <w:r>
              <w:rPr>
                <w:rFonts w:hint="eastAsia" w:ascii="宋体" w:hAnsi="宋体" w:eastAsia="宋体" w:cs="宋体"/>
                <w:kern w:val="0"/>
                <w:sz w:val="20"/>
                <w:szCs w:val="20"/>
                <w:lang w:val="en-US" w:eastAsia="zh-CN" w:bidi="ar"/>
              </w:rPr>
              <w:t>其他</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结果</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firstLine="0"/>
              <w:jc w:val="center"/>
              <w:textAlignment w:val="auto"/>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firstLine="0"/>
              <w:jc w:val="center"/>
              <w:textAlignment w:val="auto"/>
            </w:pPr>
            <w:r>
              <w:rPr>
                <w:rFonts w:hint="eastAsia" w:ascii="宋体" w:hAnsi="宋体" w:eastAsia="宋体" w:cs="宋体"/>
                <w:kern w:val="0"/>
                <w:sz w:val="20"/>
                <w:szCs w:val="20"/>
                <w:lang w:val="en-US" w:eastAsia="zh-CN" w:bidi="ar"/>
              </w:rPr>
              <w:t>总计</w:t>
            </w:r>
          </w:p>
        </w:tc>
        <w:tc>
          <w:tcPr>
            <w:tcW w:w="3248" w:type="dxa"/>
            <w:gridSpan w:val="5"/>
            <w:tcBorders>
              <w:top w:val="single" w:color="auto" w:sz="8" w:space="0"/>
              <w:left w:val="single" w:color="auto" w:sz="8" w:space="0"/>
              <w:bottom w:val="single" w:color="auto" w:sz="8" w:space="0"/>
              <w:right w:val="single" w:color="auto" w:sz="8" w:space="0"/>
            </w:tcBorders>
            <w:shd w:val="clear" w:color="auto" w:fill="DDEBF7"/>
            <w:noWrap w:val="0"/>
            <w:tcMar>
              <w:left w:w="108" w:type="dxa"/>
              <w:right w:w="108"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firstLine="0"/>
              <w:jc w:val="center"/>
              <w:textAlignment w:val="auto"/>
            </w:pPr>
            <w:r>
              <w:rPr>
                <w:rFonts w:hint="eastAsia" w:ascii="宋体" w:hAnsi="宋体" w:eastAsia="宋体" w:cs="宋体"/>
                <w:kern w:val="0"/>
                <w:sz w:val="20"/>
                <w:szCs w:val="20"/>
                <w:lang w:val="en-US" w:eastAsia="zh-CN" w:bidi="ar"/>
              </w:rPr>
              <w:t>未经复议直接起诉</w:t>
            </w:r>
          </w:p>
        </w:tc>
        <w:tc>
          <w:tcPr>
            <w:tcW w:w="3255" w:type="dxa"/>
            <w:gridSpan w:val="5"/>
            <w:tcBorders>
              <w:top w:val="single" w:color="auto" w:sz="8" w:space="0"/>
              <w:left w:val="single" w:color="auto" w:sz="8" w:space="0"/>
              <w:bottom w:val="single" w:color="auto" w:sz="8" w:space="0"/>
              <w:right w:val="single" w:color="auto" w:sz="8" w:space="0"/>
            </w:tcBorders>
            <w:shd w:val="clear" w:color="auto" w:fill="DDEBF7"/>
            <w:noWrap w:val="0"/>
            <w:tcMar>
              <w:left w:w="108" w:type="dxa"/>
              <w:right w:w="108"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firstLine="0"/>
              <w:jc w:val="center"/>
              <w:textAlignment w:val="auto"/>
            </w:pPr>
            <w:r>
              <w:rPr>
                <w:rFonts w:hint="eastAsia" w:ascii="宋体" w:hAnsi="宋体" w:eastAsia="宋体" w:cs="宋体"/>
                <w:kern w:val="0"/>
                <w:sz w:val="20"/>
                <w:szCs w:val="20"/>
                <w:lang w:val="en-US" w:eastAsia="zh-CN"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714" w:hRule="atLeast"/>
          <w:jc w:val="center"/>
        </w:trPr>
        <w:tc>
          <w:tcPr>
            <w:tcW w:w="64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atLeast"/>
              <w:textAlignment w:val="auto"/>
              <w:rPr>
                <w:rFonts w:hint="eastAsia" w:ascii="宋体"/>
                <w:sz w:val="24"/>
                <w:szCs w:val="24"/>
              </w:rPr>
            </w:pPr>
          </w:p>
        </w:tc>
        <w:tc>
          <w:tcPr>
            <w:tcW w:w="64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atLeast"/>
              <w:textAlignment w:val="auto"/>
              <w:rPr>
                <w:rFonts w:hint="eastAsia" w:ascii="宋体"/>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atLeast"/>
              <w:textAlignment w:val="auto"/>
              <w:rPr>
                <w:rFonts w:hint="eastAsia" w:ascii="宋体"/>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atLeast"/>
              <w:textAlignment w:val="auto"/>
              <w:rPr>
                <w:rFonts w:hint="eastAsia" w:ascii="宋体"/>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atLeast"/>
              <w:textAlignment w:val="auto"/>
              <w:rPr>
                <w:rFonts w:hint="eastAsia" w:ascii="宋体"/>
                <w:sz w:val="24"/>
                <w:szCs w:val="24"/>
              </w:rPr>
            </w:pP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firstLine="0"/>
              <w:jc w:val="center"/>
              <w:textAlignment w:val="auto"/>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维持</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firstLine="0"/>
              <w:jc w:val="center"/>
              <w:textAlignment w:val="auto"/>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firstLine="0"/>
              <w:jc w:val="center"/>
              <w:textAlignment w:val="auto"/>
            </w:pPr>
            <w:r>
              <w:rPr>
                <w:rFonts w:hint="eastAsia" w:ascii="宋体" w:hAnsi="宋体" w:eastAsia="宋体" w:cs="宋体"/>
                <w:kern w:val="0"/>
                <w:sz w:val="20"/>
                <w:szCs w:val="20"/>
                <w:lang w:val="en-US" w:eastAsia="zh-CN" w:bidi="ar"/>
              </w:rPr>
              <w:t>其他</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结果</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firstLine="0"/>
              <w:jc w:val="center"/>
              <w:textAlignment w:val="auto"/>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firstLine="0"/>
              <w:jc w:val="center"/>
              <w:textAlignment w:val="auto"/>
            </w:pPr>
            <w:r>
              <w:rPr>
                <w:rFonts w:hint="eastAsia" w:ascii="宋体" w:hAnsi="宋体" w:eastAsia="宋体" w:cs="宋体"/>
                <w:color w:val="000000"/>
                <w:kern w:val="0"/>
                <w:sz w:val="20"/>
                <w:szCs w:val="20"/>
                <w:lang w:val="en-US" w:eastAsia="zh-CN" w:bidi="ar"/>
              </w:rPr>
              <w:t>总计</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firstLine="0"/>
              <w:jc w:val="center"/>
              <w:textAlignment w:val="auto"/>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维持</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firstLine="0"/>
              <w:jc w:val="center"/>
              <w:textAlignment w:val="auto"/>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firstLine="0"/>
              <w:jc w:val="center"/>
              <w:textAlignment w:val="auto"/>
            </w:pPr>
            <w:r>
              <w:rPr>
                <w:rFonts w:hint="eastAsia" w:ascii="宋体" w:hAnsi="宋体" w:eastAsia="宋体" w:cs="宋体"/>
                <w:color w:val="000000"/>
                <w:kern w:val="0"/>
                <w:sz w:val="20"/>
                <w:szCs w:val="20"/>
                <w:lang w:val="en-US" w:eastAsia="zh-CN" w:bidi="ar"/>
              </w:rPr>
              <w:t>其他</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结果</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firstLine="0"/>
              <w:jc w:val="center"/>
              <w:textAlignment w:val="auto"/>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firstLine="0"/>
              <w:jc w:val="center"/>
              <w:textAlignment w:val="auto"/>
            </w:pPr>
            <w:r>
              <w:rPr>
                <w:rFonts w:hint="eastAsia" w:ascii="宋体" w:hAnsi="宋体" w:eastAsia="宋体" w:cs="宋体"/>
                <w:color w:val="000000"/>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672" w:hRule="atLeast"/>
          <w:jc w:val="center"/>
        </w:trPr>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firstLine="0"/>
              <w:jc w:val="center"/>
              <w:textAlignment w:val="auto"/>
              <w:rPr>
                <w:rFonts w:hint="default" w:ascii="宋体" w:hAnsi="宋体" w:eastAsia="宋体" w:cs="宋体"/>
                <w:sz w:val="20"/>
                <w:szCs w:val="20"/>
                <w:lang w:val="en-US" w:eastAsia="zh-CN"/>
              </w:rPr>
            </w:pPr>
            <w:r>
              <w:rPr>
                <w:rFonts w:hint="eastAsia" w:ascii="宋体" w:hAnsi="宋体" w:cs="宋体"/>
                <w:sz w:val="20"/>
                <w:szCs w:val="20"/>
                <w:lang w:val="en-US" w:eastAsia="zh-CN"/>
              </w:rPr>
              <w:t>23</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firstLine="0"/>
              <w:jc w:val="center"/>
              <w:textAlignment w:val="auto"/>
              <w:rPr>
                <w:rFonts w:hint="eastAsia" w:ascii="宋体" w:hAnsi="宋体" w:eastAsia="宋体" w:cs="宋体"/>
                <w:sz w:val="20"/>
                <w:szCs w:val="20"/>
                <w:lang w:val="en-US" w:eastAsia="zh-CN"/>
              </w:rPr>
            </w:pPr>
            <w:r>
              <w:rPr>
                <w:rFonts w:hint="eastAsia" w:ascii="宋体" w:hAnsi="宋体" w:cs="宋体"/>
                <w:sz w:val="20"/>
                <w:szCs w:val="20"/>
                <w:lang w:val="en-US" w:eastAsia="zh-CN"/>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firstLine="0"/>
              <w:jc w:val="center"/>
              <w:textAlignment w:val="auto"/>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firstLine="0"/>
              <w:jc w:val="center"/>
              <w:textAlignment w:val="auto"/>
              <w:rPr>
                <w:rFonts w:hint="eastAsia" w:ascii="宋体" w:hAnsi="宋体" w:eastAsia="宋体" w:cs="宋体"/>
                <w:sz w:val="20"/>
                <w:szCs w:val="20"/>
                <w:lang w:val="en-US" w:eastAsia="zh-CN"/>
              </w:rPr>
            </w:pPr>
            <w:r>
              <w:rPr>
                <w:rFonts w:hint="eastAsia" w:ascii="宋体" w:hAnsi="宋体" w:cs="宋体"/>
                <w:sz w:val="20"/>
                <w:szCs w:val="20"/>
                <w:lang w:val="en-US" w:eastAsia="zh-CN"/>
              </w:rPr>
              <w:t>4</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firstLine="0"/>
              <w:jc w:val="center"/>
              <w:textAlignment w:val="auto"/>
              <w:rPr>
                <w:rFonts w:hint="default" w:ascii="宋体" w:hAnsi="宋体" w:eastAsia="宋体" w:cs="宋体"/>
                <w:sz w:val="20"/>
                <w:szCs w:val="20"/>
                <w:lang w:val="en-US" w:eastAsia="zh-CN"/>
              </w:rPr>
            </w:pPr>
            <w:r>
              <w:rPr>
                <w:rFonts w:hint="eastAsia" w:ascii="宋体" w:hAnsi="宋体" w:cs="宋体"/>
                <w:sz w:val="20"/>
                <w:szCs w:val="20"/>
                <w:lang w:val="en-US" w:eastAsia="zh-CN"/>
              </w:rPr>
              <w:t>27</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firstLine="0"/>
              <w:jc w:val="center"/>
              <w:textAlignment w:val="auto"/>
              <w:rPr>
                <w:rFonts w:hint="default" w:ascii="宋体" w:hAnsi="宋体" w:eastAsia="宋体" w:cs="宋体"/>
                <w:sz w:val="20"/>
                <w:szCs w:val="20"/>
                <w:lang w:val="en-US" w:eastAsia="zh-CN"/>
              </w:rPr>
            </w:pPr>
            <w:r>
              <w:rPr>
                <w:rFonts w:hint="eastAsia" w:ascii="宋体" w:hAnsi="宋体" w:cs="宋体"/>
                <w:sz w:val="20"/>
                <w:szCs w:val="20"/>
                <w:lang w:val="en-US" w:eastAsia="zh-CN"/>
              </w:rPr>
              <w:t>13</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firstLine="0"/>
              <w:jc w:val="center"/>
              <w:textAlignment w:val="auto"/>
              <w:rPr>
                <w:rFonts w:hint="eastAsia" w:ascii="宋体" w:hAnsi="宋体" w:eastAsia="宋体" w:cs="宋体"/>
                <w:sz w:val="20"/>
                <w:szCs w:val="20"/>
              </w:rPr>
            </w:pPr>
            <w:r>
              <w:rPr>
                <w:rFonts w:hint="eastAsia" w:ascii="宋体" w:hAnsi="宋体" w:eastAsia="宋体" w:cs="宋体"/>
                <w:kern w:val="0"/>
                <w:sz w:val="20"/>
                <w:szCs w:val="20"/>
                <w:lang w:val="en-US" w:eastAsia="zh-CN" w:bidi="ar"/>
              </w:rPr>
              <w:t>5</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firstLine="0"/>
              <w:jc w:val="center"/>
              <w:textAlignment w:val="auto"/>
              <w:rPr>
                <w:rFonts w:hint="eastAsia" w:ascii="宋体" w:hAnsi="宋体" w:eastAsia="宋体" w:cs="宋体"/>
                <w:sz w:val="20"/>
                <w:szCs w:val="20"/>
                <w:lang w:val="en-US" w:eastAsia="zh-CN"/>
              </w:rPr>
            </w:pPr>
            <w:r>
              <w:rPr>
                <w:rFonts w:hint="eastAsia" w:ascii="宋体" w:hAnsi="宋体" w:cs="宋体"/>
                <w:sz w:val="20"/>
                <w:szCs w:val="20"/>
                <w:lang w:val="en-US" w:eastAsia="zh-CN"/>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firstLine="0"/>
              <w:jc w:val="center"/>
              <w:textAlignment w:val="auto"/>
              <w:rPr>
                <w:rFonts w:hint="eastAsia" w:ascii="宋体" w:hAnsi="宋体" w:eastAsia="宋体" w:cs="宋体"/>
                <w:sz w:val="20"/>
                <w:szCs w:val="20"/>
                <w:lang w:val="en-US" w:eastAsia="zh-CN"/>
              </w:rPr>
            </w:pPr>
            <w:r>
              <w:rPr>
                <w:rFonts w:hint="eastAsia" w:ascii="宋体" w:hAnsi="宋体" w:cs="宋体"/>
                <w:sz w:val="20"/>
                <w:szCs w:val="20"/>
                <w:lang w:val="en-US" w:eastAsia="zh-CN"/>
              </w:rPr>
              <w:t>1</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firstLine="0"/>
              <w:jc w:val="center"/>
              <w:textAlignment w:val="auto"/>
              <w:rPr>
                <w:rFonts w:hint="default" w:ascii="宋体" w:hAnsi="宋体" w:eastAsia="宋体" w:cs="宋体"/>
                <w:sz w:val="20"/>
                <w:szCs w:val="20"/>
                <w:lang w:val="en-US" w:eastAsia="zh-CN"/>
              </w:rPr>
            </w:pPr>
            <w:r>
              <w:rPr>
                <w:rFonts w:hint="eastAsia" w:ascii="宋体" w:hAnsi="宋体" w:cs="宋体"/>
                <w:sz w:val="20"/>
                <w:szCs w:val="20"/>
                <w:lang w:val="en-US" w:eastAsia="zh-CN"/>
              </w:rPr>
              <w:t>19</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firstLine="0"/>
              <w:jc w:val="center"/>
              <w:textAlignment w:val="auto"/>
              <w:rPr>
                <w:rFonts w:hint="eastAsia" w:ascii="宋体" w:hAnsi="宋体" w:eastAsia="宋体" w:cs="宋体"/>
                <w:sz w:val="20"/>
                <w:szCs w:val="20"/>
                <w:lang w:val="en-US" w:eastAsia="zh-CN"/>
              </w:rPr>
            </w:pPr>
            <w:r>
              <w:rPr>
                <w:rFonts w:hint="eastAsia" w:ascii="宋体" w:hAnsi="宋体" w:cs="宋体"/>
                <w:sz w:val="20"/>
                <w:szCs w:val="20"/>
                <w:lang w:val="en-US" w:eastAsia="zh-CN"/>
              </w:rPr>
              <w:t>8</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firstLine="0"/>
              <w:jc w:val="center"/>
              <w:textAlignment w:val="auto"/>
              <w:rPr>
                <w:rFonts w:hint="eastAsia" w:ascii="宋体" w:hAnsi="宋体" w:eastAsia="宋体" w:cs="宋体"/>
                <w:sz w:val="20"/>
                <w:szCs w:val="20"/>
                <w:lang w:val="en-US" w:eastAsia="zh-CN"/>
              </w:rPr>
            </w:pPr>
            <w:r>
              <w:rPr>
                <w:rFonts w:hint="eastAsia" w:ascii="宋体" w:hAnsi="宋体" w:cs="宋体"/>
                <w:sz w:val="20"/>
                <w:szCs w:val="20"/>
                <w:lang w:val="en-US" w:eastAsia="zh-CN"/>
              </w:rPr>
              <w:t>3</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firstLine="0"/>
              <w:jc w:val="center"/>
              <w:textAlignment w:val="auto"/>
              <w:rPr>
                <w:rFonts w:hint="eastAsia" w:ascii="宋体" w:hAnsi="宋体" w:eastAsia="宋体" w:cs="宋体"/>
                <w:sz w:val="20"/>
                <w:szCs w:val="20"/>
                <w:lang w:val="en-US" w:eastAsia="zh-CN"/>
              </w:rPr>
            </w:pPr>
            <w:r>
              <w:rPr>
                <w:rFonts w:hint="eastAsia" w:ascii="宋体" w:hAnsi="宋体" w:cs="宋体"/>
                <w:sz w:val="20"/>
                <w:szCs w:val="20"/>
                <w:lang w:val="en-US" w:eastAsia="zh-CN"/>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firstLine="0"/>
              <w:jc w:val="center"/>
              <w:textAlignment w:val="auto"/>
              <w:rPr>
                <w:rFonts w:hint="eastAsia" w:ascii="宋体" w:hAnsi="宋体" w:eastAsia="宋体" w:cs="宋体"/>
                <w:sz w:val="20"/>
                <w:szCs w:val="20"/>
                <w:lang w:val="en-US" w:eastAsia="zh-CN"/>
              </w:rPr>
            </w:pPr>
            <w:r>
              <w:rPr>
                <w:rFonts w:hint="eastAsia" w:ascii="宋体" w:hAnsi="宋体" w:cs="宋体"/>
                <w:sz w:val="20"/>
                <w:szCs w:val="20"/>
                <w:lang w:val="en-US" w:eastAsia="zh-CN"/>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z w:val="20"/>
                <w:szCs w:val="20"/>
                <w:lang w:val="en-US" w:eastAsia="zh-CN"/>
              </w:rPr>
            </w:pPr>
            <w:r>
              <w:rPr>
                <w:rFonts w:hint="eastAsia" w:ascii="宋体" w:hAnsi="宋体" w:cs="宋体"/>
                <w:sz w:val="20"/>
                <w:szCs w:val="20"/>
                <w:lang w:val="en-US" w:eastAsia="zh-CN"/>
              </w:rPr>
              <w:t>11</w:t>
            </w:r>
          </w:p>
        </w:tc>
      </w:tr>
    </w:tbl>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黑体" w:hAnsi="黑体" w:eastAsia="黑体" w:cs="宋体"/>
          <w:spacing w:val="8"/>
          <w:kern w:val="0"/>
          <w:sz w:val="32"/>
          <w:szCs w:val="32"/>
        </w:rPr>
      </w:pPr>
    </w:p>
    <w:p>
      <w:pPr>
        <w:keepNext w:val="0"/>
        <w:keepLines w:val="0"/>
        <w:pageBreakBefore w:val="0"/>
        <w:widowControl/>
        <w:kinsoku/>
        <w:wordWrap/>
        <w:overflowPunct/>
        <w:topLinePunct w:val="0"/>
        <w:autoSpaceDE/>
        <w:autoSpaceDN/>
        <w:bidi w:val="0"/>
        <w:adjustRightInd/>
        <w:snapToGrid/>
        <w:spacing w:line="560" w:lineRule="exact"/>
        <w:ind w:firstLine="672" w:firstLineChars="200"/>
        <w:jc w:val="left"/>
        <w:textAlignment w:val="auto"/>
        <w:rPr>
          <w:rFonts w:ascii="宋体" w:hAnsi="宋体" w:cs="宋体"/>
          <w:spacing w:val="8"/>
          <w:kern w:val="0"/>
          <w:sz w:val="24"/>
        </w:rPr>
      </w:pPr>
      <w:r>
        <w:rPr>
          <w:rFonts w:ascii="黑体" w:hAnsi="黑体" w:eastAsia="黑体" w:cs="宋体"/>
          <w:spacing w:val="8"/>
          <w:kern w:val="0"/>
          <w:sz w:val="32"/>
          <w:szCs w:val="32"/>
        </w:rPr>
        <w:t>五、存在的主要问题及改进情况</w:t>
      </w:r>
    </w:p>
    <w:p>
      <w:pPr>
        <w:keepNext w:val="0"/>
        <w:keepLines w:val="0"/>
        <w:pageBreakBefore w:val="0"/>
        <w:widowControl/>
        <w:kinsoku/>
        <w:wordWrap/>
        <w:overflowPunct/>
        <w:topLinePunct w:val="0"/>
        <w:autoSpaceDE/>
        <w:autoSpaceDN/>
        <w:bidi w:val="0"/>
        <w:adjustRightInd/>
        <w:snapToGrid/>
        <w:spacing w:line="560" w:lineRule="exact"/>
        <w:ind w:firstLine="672" w:firstLineChars="200"/>
        <w:jc w:val="both"/>
        <w:textAlignment w:val="auto"/>
        <w:rPr>
          <w:rFonts w:hint="eastAsia" w:ascii="仿宋_GB2312" w:hAnsi="宋体" w:eastAsia="仿宋_GB2312" w:cs="宋体"/>
          <w:spacing w:val="8"/>
          <w:kern w:val="0"/>
          <w:sz w:val="32"/>
          <w:szCs w:val="32"/>
          <w:lang w:val="en-US" w:eastAsia="zh-CN"/>
        </w:rPr>
      </w:pPr>
      <w:r>
        <w:rPr>
          <w:rFonts w:hint="eastAsia" w:ascii="仿宋_GB2312" w:hAnsi="宋体" w:eastAsia="仿宋_GB2312" w:cs="宋体"/>
          <w:spacing w:val="8"/>
          <w:kern w:val="0"/>
          <w:sz w:val="32"/>
          <w:szCs w:val="32"/>
          <w:lang w:val="en-US" w:eastAsia="zh-CN"/>
        </w:rPr>
        <w:t>网站域名使用方面存在不规范的问题。在进行网站域名自查过程中，发现存在网站域名使用不规范的问题。针对问题，我区及时安排相关单位和技术维护力量开展整改工作，同时举一反三开展全面规范整改工作。一是彻底排查，通过“技术+人工”的方式对服务器数据进行梳理，杜绝历史遗留问题。二是要求区内各单位自查自建工作系统，发现问题及时纠正。三是按照国办、北京市对于政府网站域名管理的要求制定大兴区政府网站建设及管理的工作方案，落实任务，明确责任，规范化做好大兴区政府网站域名管理工作。通过全面的排查整改，建立完善的工作机制，大兴区政府网站域名管理不规范的问题已全面消除，政府网站建设标准均已符合上级部门的各项要求。</w:t>
      </w:r>
    </w:p>
    <w:p>
      <w:pPr>
        <w:keepNext w:val="0"/>
        <w:keepLines w:val="0"/>
        <w:pageBreakBefore w:val="0"/>
        <w:widowControl/>
        <w:kinsoku/>
        <w:wordWrap/>
        <w:overflowPunct/>
        <w:topLinePunct w:val="0"/>
        <w:autoSpaceDE/>
        <w:autoSpaceDN/>
        <w:bidi w:val="0"/>
        <w:adjustRightInd/>
        <w:snapToGrid/>
        <w:spacing w:line="560" w:lineRule="exact"/>
        <w:ind w:firstLine="675"/>
        <w:jc w:val="left"/>
        <w:textAlignment w:val="auto"/>
        <w:rPr>
          <w:rFonts w:ascii="宋体" w:hAnsi="宋体" w:cs="宋体"/>
          <w:spacing w:val="8"/>
          <w:kern w:val="0"/>
          <w:sz w:val="32"/>
          <w:szCs w:val="32"/>
        </w:rPr>
      </w:pPr>
      <w:r>
        <w:rPr>
          <w:rFonts w:ascii="黑体" w:hAnsi="黑体" w:eastAsia="黑体" w:cs="宋体"/>
          <w:spacing w:val="8"/>
          <w:kern w:val="0"/>
          <w:sz w:val="32"/>
          <w:szCs w:val="32"/>
        </w:rPr>
        <w:t>六、其他需要报告的事项</w:t>
      </w:r>
    </w:p>
    <w:p>
      <w:pPr>
        <w:keepNext w:val="0"/>
        <w:keepLines w:val="0"/>
        <w:pageBreakBefore w:val="0"/>
        <w:widowControl/>
        <w:kinsoku/>
        <w:wordWrap/>
        <w:overflowPunct/>
        <w:topLinePunct w:val="0"/>
        <w:autoSpaceDE/>
        <w:autoSpaceDN/>
        <w:bidi w:val="0"/>
        <w:adjustRightInd/>
        <w:snapToGrid/>
        <w:spacing w:line="560" w:lineRule="exact"/>
        <w:ind w:firstLine="672"/>
        <w:jc w:val="left"/>
        <w:textAlignment w:val="auto"/>
        <w:rPr>
          <w:rFonts w:hint="eastAsia" w:ascii="仿宋_GB2312" w:hAnsi="仿宋_GB2312" w:eastAsia="仿宋_GB2312" w:cs="仿宋_GB2312"/>
          <w:spacing w:val="8"/>
          <w:kern w:val="0"/>
          <w:sz w:val="32"/>
          <w:szCs w:val="32"/>
          <w:lang w:val="en-US" w:eastAsia="zh-CN" w:bidi="ar-SA"/>
        </w:rPr>
      </w:pPr>
      <w:r>
        <w:rPr>
          <w:rFonts w:hint="eastAsia" w:ascii="仿宋_GB2312" w:hAnsi="宋体" w:eastAsia="仿宋_GB2312" w:cs="宋体"/>
          <w:spacing w:val="8"/>
          <w:kern w:val="0"/>
          <w:sz w:val="32"/>
          <w:szCs w:val="32"/>
          <w:lang w:val="en-US" w:eastAsia="zh-CN" w:bidi="ar-SA"/>
        </w:rPr>
        <w:t>本年度，大兴区严格按照《政府信息公开信息处理费管理办法》的相关规定，共发出收费通知3件，发出缴费通知</w:t>
      </w:r>
      <w:r>
        <w:rPr>
          <w:rFonts w:hint="eastAsia" w:ascii="仿宋_GB2312" w:hAnsi="仿宋_GB2312" w:eastAsia="仿宋_GB2312" w:cs="仿宋_GB2312"/>
          <w:spacing w:val="8"/>
          <w:kern w:val="0"/>
          <w:sz w:val="32"/>
          <w:szCs w:val="32"/>
          <w:lang w:val="en-US" w:eastAsia="zh-CN" w:bidi="ar-SA"/>
        </w:rPr>
        <w:t>金额370元，实际收到缴费金额140元。</w:t>
      </w:r>
    </w:p>
    <w:p>
      <w:pPr>
        <w:pStyle w:val="2"/>
        <w:keepNext w:val="0"/>
        <w:keepLines w:val="0"/>
        <w:pageBreakBefore w:val="0"/>
        <w:widowControl w:val="0"/>
        <w:kinsoku/>
        <w:wordWrap w:val="0"/>
        <w:overflowPunct/>
        <w:topLinePunct w:val="0"/>
        <w:autoSpaceDE/>
        <w:autoSpaceDN/>
        <w:bidi w:val="0"/>
        <w:adjustRightInd/>
        <w:snapToGrid/>
        <w:ind w:firstLine="669"/>
        <w:textAlignment w:val="auto"/>
        <w:rPr>
          <w:rFonts w:hint="eastAsia" w:ascii="仿宋_GB2312" w:hAnsi="宋体" w:eastAsia="仿宋_GB2312" w:cs="宋体"/>
          <w:spacing w:val="8"/>
          <w:kern w:val="0"/>
          <w:sz w:val="32"/>
          <w:szCs w:val="32"/>
          <w:lang w:val="en-US" w:eastAsia="zh-CN" w:bidi="ar-SA"/>
        </w:rPr>
      </w:pPr>
      <w:r>
        <w:rPr>
          <w:rFonts w:hint="eastAsia" w:ascii="仿宋_GB2312" w:hAnsi="宋体" w:eastAsia="仿宋_GB2312" w:cs="宋体"/>
          <w:spacing w:val="8"/>
          <w:kern w:val="0"/>
          <w:sz w:val="32"/>
          <w:szCs w:val="32"/>
          <w:lang w:val="en-US" w:eastAsia="zh-CN" w:bidi="ar-SA"/>
        </w:rPr>
        <w:t>北京市大兴区人民政府网站网址为https://www.bjdx.gov.cn/，如需了解更多政府信息，请登录查询。</w:t>
      </w:r>
      <w:bookmarkStart w:id="0" w:name="_GoBack"/>
      <w:bookmarkEnd w:id="0"/>
    </w:p>
    <w:p/>
    <w:p/>
    <w:p/>
    <w:p/>
    <w:sectPr>
      <w:footerReference r:id="rId3" w:type="default"/>
      <w:pgSz w:w="11906" w:h="16838"/>
      <w:pgMar w:top="2098" w:right="1474" w:bottom="1984" w:left="1587" w:header="851" w:footer="1587"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inside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FBF937"/>
    <w:multiLevelType w:val="singleLevel"/>
    <w:tmpl w:val="F8FBF937"/>
    <w:lvl w:ilvl="0" w:tentative="0">
      <w:start w:val="2"/>
      <w:numFmt w:val="chineseCounting"/>
      <w:suff w:val="nothing"/>
      <w:lvlText w:val="%1、"/>
      <w:lvlJc w:val="left"/>
      <w:rPr>
        <w:rFonts w:hint="eastAsia" w:ascii="黑体" w:hAnsi="黑体" w:eastAsia="黑体" w:cs="黑体"/>
        <w:sz w:val="32"/>
        <w:szCs w:val="3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2D7998"/>
    <w:rsid w:val="0340126D"/>
    <w:rsid w:val="052675BF"/>
    <w:rsid w:val="075808D5"/>
    <w:rsid w:val="208E3EF6"/>
    <w:rsid w:val="20F61930"/>
    <w:rsid w:val="297B55FD"/>
    <w:rsid w:val="2CED2916"/>
    <w:rsid w:val="2D42034B"/>
    <w:rsid w:val="37FD7ACE"/>
    <w:rsid w:val="43A30C4C"/>
    <w:rsid w:val="53670A38"/>
    <w:rsid w:val="53A544E9"/>
    <w:rsid w:val="57694B2C"/>
    <w:rsid w:val="5C2D7998"/>
    <w:rsid w:val="5D354982"/>
    <w:rsid w:val="5FD704AD"/>
    <w:rsid w:val="72C940BA"/>
    <w:rsid w:val="7C367C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99"/>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2022-02-09T08:23:00Z</dcterms:created>
  <dc:creator>shen</dc:creator>
  <cp:lastModifiedBy>shen</cp:lastModifiedBy>
  <cp:lastPrinted>2022-02-10T06:53:00Z</cp:lastPrinted>
  <dcterms:modified xsi:type="dcterms:W3CDTF">2023-03-07T08:57:42Z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