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北京市大兴区人力资源和社会保障局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2023年政府信息公开工作年度报告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eastAsia="仿宋_GB2312" w:cs="仿宋_GB2312"/>
          <w:lang w:val="en-US" w:eastAsia="zh-CN"/>
        </w:rPr>
        <w:t xml:space="preserve">　 </w:t>
      </w:r>
      <w:r>
        <w:rPr>
          <w:rFonts w:hint="eastAsia" w:ascii="仿宋_GB2312" w:hAnsi="宋体" w:eastAsia="仿宋_GB2312" w:cs="宋体"/>
          <w:spacing w:val="8"/>
          <w:kern w:val="0"/>
          <w:sz w:val="32"/>
          <w:szCs w:val="32"/>
          <w:lang w:val="en-US" w:eastAsia="zh-CN" w:bidi="ar"/>
        </w:rPr>
        <w:t xml:space="preserve"> 2023年,北京市大兴区人力资源和社会保障局认真贯彻落实《中华人民共和国政府信息公开条例》和市区有关政府信息公开工作要求，紧扣大兴区2023年政务公开工作要点，不断夯实公开工作标准化规范化基础，提高工作透明度，政务公开工作的质量和效果得到全面提升。</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（一）组织领导</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为进一步落实岗位职责，我局成立了</w:t>
      </w:r>
      <w:r>
        <w:rPr>
          <w:rFonts w:hint="eastAsia" w:ascii="仿宋_GB2312" w:hAnsi="仿宋" w:eastAsia="仿宋_GB2312"/>
          <w:sz w:val="32"/>
          <w:lang w:eastAsia="zh-CN"/>
        </w:rPr>
        <w:t>政府信息公开</w:t>
      </w:r>
      <w:r>
        <w:rPr>
          <w:rFonts w:hint="eastAsia" w:ascii="仿宋_GB2312" w:hAnsi="仿宋" w:eastAsia="仿宋_GB2312"/>
          <w:sz w:val="32"/>
        </w:rPr>
        <w:t>领导小组</w:t>
      </w:r>
      <w:r>
        <w:rPr>
          <w:rFonts w:hint="eastAsia" w:ascii="仿宋_GB2312" w:hAnsi="宋体" w:eastAsia="仿宋_GB2312" w:cs="宋体"/>
          <w:spacing w:val="8"/>
          <w:kern w:val="0"/>
          <w:sz w:val="32"/>
          <w:szCs w:val="32"/>
          <w:lang w:val="en-US" w:eastAsia="zh-CN" w:bidi="ar"/>
        </w:rPr>
        <w:t xml:space="preserve">，形成“主要领导牵头抓总、分管领导具体负责、相关工作人员严格落实”的工作体系。各科室落实专人负责，责任细化到人，对主动公开、依申请公开、保密审查等工作进一步明确细化，确保政府信息公开工作的常态化、制度化和规范化。  </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（二）主动公开</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我局将区政府网站作为信息公开主阵地，常态化公开机构职权、预决算、重点民生和事实、执法结果等信息，并持续保障就业创业、社会保险、六稳六保等专栏内容。围绕《大兴区年度政务公开工作要点》，我局结合人力社保工作“一头一尾”的特点，按年度调整完善《政府信息公开全清单》，并对照全清单分配公开任务，领导小组办公室按月督导完成进度，做到条理清晰、规范有序。</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同时，我局进一步加强行政规范性文件及政策性文件发布管理，建立民需汇集、民计采纳、民意监督工作机制，有序扩大公开征集意见范围，公布采纳情况，并在政策发布同时以多种形式进行政策解读，切实在政策制定执行中问需、问计、问效于民，形成“公众点菜、政府端菜”的良好格局。</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三）依申请公开</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严格落实相关规定，依法依规受理公开申请，畅通现场、网络、信函等各渠道。全年共受理公开申请15件，其中14件已办结，1件结转至2024年。所办案件均严格按照《政府信息公开条例》要求，按时答复，内容合法、流程规范、形式严谨。</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（四）政府信息管理</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加强政府信息管理，严格落实专人负责政府信息公开发布工作，按要求做好信息报送，努力提升信息发布质量。准确把握不予公开范围，对拟公开或依申请公开的政府信息反复审查，按照“谁提供、谁负责，先审查、后公开”的原则，确保了政府信息公开工作有序开展。</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（五）政府信息公开平台建设</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我局进一步加强“大兴区人民政府”网站内容保障力度，充分利用官方网站信息公开第一平台作用，充分发挥网站信息发布、政策解读、关切回应、舆论引导等作用。另外我局持续加强政务新媒体建设，充分发挥政务新媒体传播速度快、受众面广、互动性强等优势，积极为企业群众提供高效便捷的优质服务。</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（六）教育培训</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积极开展信息公开专项培训，认真部署信息公开工作，切实增强干部队伍的公开意识，提升发布信息、政策解读的质量。</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　　</w:t>
      </w:r>
      <w:r>
        <w:rPr>
          <w:rFonts w:hint="eastAsia" w:ascii="楷体_GB2312" w:hAnsi="楷体_GB2312" w:eastAsia="楷体_GB2312" w:cs="楷体_GB2312"/>
          <w:spacing w:val="8"/>
          <w:kern w:val="0"/>
          <w:sz w:val="32"/>
          <w:szCs w:val="32"/>
          <w:lang w:val="en-US" w:eastAsia="zh-CN" w:bidi="ar"/>
        </w:rPr>
        <w:t>（七）监督保障</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信息公开监督保障有力有效。严格规范信息公开的流程、标准和时限，明确公开部门和相关责任人，重点加强对公开信息内容的审核，确保了信息公开的准确、及时、规范。</w:t>
      </w: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pPr>
      <w:r>
        <w:rPr>
          <w:rFonts w:hint="eastAsia" w:ascii="黑体" w:hAnsi="宋体" w:eastAsia="黑体" w:cs="黑体"/>
          <w:sz w:val="32"/>
          <w:szCs w:val="32"/>
          <w:lang w:val="en-US" w:eastAsia="zh-CN" w:bidi="ar"/>
        </w:rPr>
        <w:t>二、</w:t>
      </w:r>
      <w:r>
        <w:rPr>
          <w:rFonts w:hint="eastAsia" w:ascii="黑体" w:hAnsi="宋体" w:eastAsia="黑体" w:cs="黑体"/>
          <w:sz w:val="32"/>
          <w:szCs w:val="32"/>
          <w:lang w:bidi="ar"/>
        </w:rPr>
        <w:t>主动公开政府信息情况</w:t>
      </w:r>
    </w:p>
    <w:p>
      <w:pPr>
        <w:pStyle w:val="5"/>
        <w:keepNext w:val="0"/>
        <w:keepLines w:val="0"/>
        <w:pageBreakBefore w:val="0"/>
        <w:widowControl/>
        <w:kinsoku/>
        <w:wordWrap/>
        <w:overflowPunct/>
        <w:topLinePunct w:val="0"/>
        <w:autoSpaceDE/>
        <w:autoSpaceDN/>
        <w:bidi w:val="0"/>
        <w:adjustRightInd/>
        <w:snapToGrid/>
        <w:spacing w:line="560" w:lineRule="exact"/>
        <w:textAlignment w:val="auto"/>
      </w:pPr>
    </w:p>
    <w:tbl>
      <w:tblPr>
        <w:tblStyle w:val="8"/>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现行有效件数</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Cs w:val="21"/>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Cs w:val="21"/>
                <w:lang w:val="en-US" w:eastAsia="zh-CN" w:bidi="ar"/>
              </w:rPr>
              <w:t>4</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eastAsia="宋体"/>
                <w:lang w:val="en-US" w:eastAsia="zh-CN"/>
              </w:rPr>
            </w:pPr>
            <w:r>
              <w:rPr>
                <w:rFonts w:hint="eastAsia" w:cs="Calibri"/>
                <w:kern w:val="0"/>
                <w:szCs w:val="21"/>
                <w:lang w:val="en-US" w:eastAsia="zh-CN" w:bidi="ar"/>
              </w:rPr>
              <w:t>539</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eastAsia="宋体"/>
                <w:lang w:val="en-US" w:eastAsia="zh-CN"/>
              </w:rPr>
            </w:pPr>
            <w:r>
              <w:rPr>
                <w:rFonts w:hint="eastAsia" w:ascii="宋体" w:hAnsi="宋体" w:cs="宋体"/>
                <w:color w:val="000000"/>
                <w:kern w:val="0"/>
                <w:sz w:val="20"/>
                <w:szCs w:val="20"/>
                <w:lang w:val="en-US" w:eastAsia="zh-CN" w:bidi="ar"/>
              </w:rPr>
              <w:t>151</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ascii="宋体" w:hAnsi="宋体" w:cs="宋体"/>
                <w:color w:val="000000"/>
                <w:kern w:val="0"/>
                <w:sz w:val="20"/>
                <w:szCs w:val="20"/>
                <w:lang w:val="en-US" w:eastAsia="zh-CN" w:bidi="ar"/>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Times New Roman" w:eastAsia="宋体" w:cs="宋体"/>
                <w:sz w:val="24"/>
                <w:lang w:val="en-US" w:eastAsia="zh-CN"/>
              </w:rPr>
            </w:pPr>
            <w:r>
              <w:rPr>
                <w:rFonts w:hint="eastAsia" w:ascii="宋体" w:cs="宋体"/>
                <w:sz w:val="24"/>
                <w:lang w:val="en-US" w:eastAsia="zh-CN"/>
              </w:rPr>
              <w:t>0</w:t>
            </w:r>
          </w:p>
        </w:tc>
      </w:tr>
    </w:tbl>
    <w:p>
      <w:pPr>
        <w:pStyle w:val="5"/>
        <w:keepNext w:val="0"/>
        <w:keepLines w:val="0"/>
        <w:pageBreakBefore w:val="0"/>
        <w:widowControl/>
        <w:kinsoku/>
        <w:wordWrap/>
        <w:overflowPunct/>
        <w:topLinePunct w:val="0"/>
        <w:autoSpaceDE/>
        <w:autoSpaceDN/>
        <w:bidi w:val="0"/>
        <w:adjustRightInd/>
        <w:snapToGrid/>
        <w:spacing w:line="560" w:lineRule="exact"/>
        <w:textAlignment w:val="auto"/>
      </w:pPr>
    </w:p>
    <w:p>
      <w:pPr>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宋体" w:eastAsia="黑体" w:cs="黑体"/>
          <w:sz w:val="32"/>
          <w:szCs w:val="32"/>
        </w:rPr>
      </w:pPr>
      <w:r>
        <w:rPr>
          <w:rFonts w:hint="eastAsia" w:ascii="黑体" w:hAnsi="宋体" w:eastAsia="黑体" w:cs="黑体"/>
          <w:sz w:val="32"/>
          <w:szCs w:val="32"/>
          <w:lang w:val="en-US" w:eastAsia="zh-CN" w:bidi="ar"/>
        </w:rPr>
        <w:t>三、</w:t>
      </w:r>
      <w:r>
        <w:rPr>
          <w:rFonts w:hint="eastAsia" w:ascii="黑体" w:hAnsi="宋体" w:eastAsia="黑体" w:cs="黑体"/>
          <w:sz w:val="32"/>
          <w:szCs w:val="32"/>
          <w:lang w:bidi="ar"/>
        </w:rPr>
        <w:t>收到和处理政府信息公开申请情况</w:t>
      </w:r>
    </w:p>
    <w:p>
      <w:pPr>
        <w:keepNext w:val="0"/>
        <w:keepLines w:val="0"/>
        <w:pageBreakBefore w:val="0"/>
        <w:kinsoku/>
        <w:wordWrap/>
        <w:overflowPunct/>
        <w:topLinePunct w:val="0"/>
        <w:autoSpaceDE/>
        <w:autoSpaceDN/>
        <w:bidi w:val="0"/>
        <w:adjustRightInd/>
        <w:snapToGrid/>
        <w:spacing w:line="560" w:lineRule="exact"/>
        <w:ind w:left="629"/>
        <w:textAlignment w:val="auto"/>
        <w:rPr>
          <w:rFonts w:hint="eastAsia" w:ascii="黑体" w:hAnsi="宋体" w:eastAsia="黑体" w:cs="黑体"/>
          <w:sz w:val="24"/>
        </w:rPr>
      </w:pPr>
    </w:p>
    <w:tbl>
      <w:tblPr>
        <w:tblStyle w:val="8"/>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15</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15</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6</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3</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3</w:t>
            </w: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5</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eastAsia="宋体"/>
                <w:lang w:val="en-US" w:eastAsia="zh-CN"/>
              </w:rPr>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lang w:val="en-US"/>
              </w:rPr>
            </w:pPr>
            <w:r>
              <w:rPr>
                <w:rFonts w:hint="eastAsia" w:cs="Calibri"/>
                <w:kern w:val="0"/>
                <w:sz w:val="20"/>
                <w:szCs w:val="20"/>
                <w:lang w:val="en-US" w:eastAsia="zh-CN" w:bidi="ar"/>
              </w:rPr>
              <w:t>14</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14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eastAsia="宋体" w:cs="宋体"/>
                <w:sz w:val="24"/>
                <w:lang w:val="en-US" w:eastAsia="zh-CN"/>
              </w:rPr>
            </w:pPr>
            <w:r>
              <w:rPr>
                <w:rFonts w:hint="eastAsia" w:ascii="宋体" w:cs="宋体"/>
                <w:sz w:val="24"/>
                <w:lang w:val="en-US" w:eastAsia="zh-CN"/>
              </w:rPr>
              <w:t>1</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cs="宋体"/>
                <w:sz w:val="24"/>
              </w:rPr>
            </w:pP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cs="宋体"/>
                <w:sz w:val="24"/>
              </w:rPr>
            </w:pPr>
            <w:r>
              <w:rPr>
                <w:rFonts w:hint="eastAsia" w:ascii="宋体" w:cs="宋体"/>
                <w:sz w:val="24"/>
                <w:lang w:val="en-US" w:eastAsia="zh-CN"/>
              </w:rPr>
              <w:t>1</w:t>
            </w:r>
          </w:p>
        </w:tc>
      </w:tr>
    </w:tbl>
    <w:p>
      <w:pPr>
        <w:pStyle w:val="5"/>
        <w:keepNext w:val="0"/>
        <w:keepLines w:val="0"/>
        <w:pageBreakBefore w:val="0"/>
        <w:widowControl/>
        <w:kinsoku/>
        <w:wordWrap/>
        <w:overflowPunct/>
        <w:topLinePunct w:val="0"/>
        <w:autoSpaceDE/>
        <w:autoSpaceDN/>
        <w:bidi w:val="0"/>
        <w:adjustRightInd/>
        <w:snapToGrid/>
        <w:spacing w:line="560" w:lineRule="exact"/>
        <w:ind w:left="420" w:leftChars="200"/>
        <w:textAlignment w:val="auto"/>
      </w:pPr>
    </w:p>
    <w:p>
      <w:pPr>
        <w:pStyle w:val="5"/>
        <w:keepNext w:val="0"/>
        <w:keepLines w:val="0"/>
        <w:pageBreakBefore w:val="0"/>
        <w:widowControl/>
        <w:kinsoku/>
        <w:wordWrap/>
        <w:overflowPunct/>
        <w:topLinePunct w:val="0"/>
        <w:autoSpaceDE/>
        <w:autoSpaceDN/>
        <w:bidi w:val="0"/>
        <w:adjustRightInd/>
        <w:snapToGrid/>
        <w:spacing w:line="560" w:lineRule="exact"/>
        <w:ind w:left="420" w:leftChars="200"/>
        <w:textAlignment w:val="auto"/>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pPr>
    </w:p>
    <w:tbl>
      <w:tblPr>
        <w:tblStyle w:val="8"/>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pPr>
            <w:r>
              <w:rPr>
                <w:rFonts w:hint="eastAsia" w:cs="Calibri"/>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Times New Roman" w:cs="宋体"/>
                <w:sz w:val="24"/>
              </w:rPr>
            </w:pPr>
            <w:r>
              <w:rPr>
                <w:rFonts w:hint="eastAsia" w:cs="Calibri"/>
                <w:kern w:val="0"/>
                <w:sz w:val="20"/>
                <w:szCs w:val="20"/>
                <w:lang w:val="en-US" w:eastAsia="zh-CN" w:bidi="ar"/>
              </w:rPr>
              <w:t>0</w:t>
            </w: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pP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（一）存在问题</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1.政府信息公开队伍写作能力有待提升，存在用词不准确，格式不规范等问题。</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2.依申请公开工作经验不足，缺乏处理依申请公开工作的经验，受理案例较少，工作思路不明确。</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（二）改进措施</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1.进一步加大培训力度，着重围绕公文写作、行文规范、信息宣传、案例分析等方面进行专题培训，切实提升干部队伍综合素质。</w:t>
      </w:r>
    </w:p>
    <w:p>
      <w:pPr>
        <w:keepNext w:val="0"/>
        <w:keepLines w:val="0"/>
        <w:pageBreakBefore w:val="0"/>
        <w:widowControl/>
        <w:kinsoku/>
        <w:wordWrap/>
        <w:overflowPunct/>
        <w:topLinePunct w:val="0"/>
        <w:autoSpaceDE/>
        <w:autoSpaceDN/>
        <w:bidi w:val="0"/>
        <w:adjustRightInd/>
        <w:snapToGrid/>
        <w:spacing w:line="560" w:lineRule="exact"/>
        <w:ind w:firstLine="672"/>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spacing w:val="8"/>
          <w:kern w:val="0"/>
          <w:sz w:val="32"/>
          <w:szCs w:val="32"/>
          <w:lang w:val="en-US" w:eastAsia="zh-CN" w:bidi="ar"/>
        </w:rPr>
        <w:t>2.进一步丰富理论知识，查找、收集相关案例，积累工作经验。同时加强与法律顾问的沟通交流，行文用字力求客观、严谨，相关法律条文引用正确。</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widowControl/>
        <w:spacing w:line="560" w:lineRule="exact"/>
        <w:jc w:val="left"/>
        <w:rPr>
          <w:rFonts w:hint="eastAsia" w:ascii="仿宋_GB2312" w:hAnsi="仿宋_GB2312" w:eastAsia="仿宋_GB2312" w:cs="仿宋_GB2312"/>
          <w:sz w:val="32"/>
          <w:szCs w:val="32"/>
          <w:lang w:val="en-US" w:eastAsia="zh-CN"/>
        </w:rPr>
      </w:pPr>
      <w:r>
        <w:rPr>
          <w:rFonts w:hint="eastAsia" w:ascii="宋体" w:hAnsi="宋体" w:cs="宋体"/>
          <w:spacing w:val="8"/>
          <w:kern w:val="0"/>
          <w:sz w:val="32"/>
          <w:szCs w:val="32"/>
          <w:lang w:bidi="ar"/>
        </w:rPr>
        <w:t>　　</w:t>
      </w:r>
      <w:r>
        <w:rPr>
          <w:rFonts w:hint="eastAsia" w:ascii="仿宋_GB2312" w:hAnsi="仿宋_GB2312" w:eastAsia="仿宋_GB2312" w:cs="仿宋_GB2312"/>
          <w:sz w:val="32"/>
          <w:szCs w:val="32"/>
          <w:lang w:val="en-US" w:eastAsia="zh-CN"/>
        </w:rPr>
        <w:t>我单位本年度发出收费通知的件数和总金额以及实际收取的总金额均为0。</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宋体" w:cs="宋体"/>
          <w:color w:val="9BC2E6"/>
          <w:spacing w:val="8"/>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pPr>
      <w:bookmarkStart w:id="0" w:name="_GoBack"/>
      <w:bookmarkEnd w:id="0"/>
    </w:p>
    <w:sectPr>
      <w:pgSz w:w="11906" w:h="16838"/>
      <w:pgMar w:top="2098" w:right="1474" w:bottom="1984" w:left="1587" w:header="851" w:footer="992" w:gutter="0"/>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571D6"/>
    <w:rsid w:val="0031639D"/>
    <w:rsid w:val="028C0BA5"/>
    <w:rsid w:val="06DF16FD"/>
    <w:rsid w:val="139659B2"/>
    <w:rsid w:val="1D3571D6"/>
    <w:rsid w:val="24062063"/>
    <w:rsid w:val="25B05FCB"/>
    <w:rsid w:val="2C231E11"/>
    <w:rsid w:val="2E2C5915"/>
    <w:rsid w:val="2FC57935"/>
    <w:rsid w:val="305741AF"/>
    <w:rsid w:val="3C2F731A"/>
    <w:rsid w:val="3C73001A"/>
    <w:rsid w:val="3FB2353E"/>
    <w:rsid w:val="437F6665"/>
    <w:rsid w:val="4D326498"/>
    <w:rsid w:val="627500A1"/>
    <w:rsid w:val="718C5483"/>
    <w:rsid w:val="778C5612"/>
    <w:rsid w:val="7EA10D98"/>
    <w:rsid w:val="7F9B7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semiHidden/>
    <w:unhideWhenUsed/>
    <w:qFormat/>
    <w:uiPriority w:val="0"/>
    <w:pPr>
      <w:keepNext/>
      <w:keepLines/>
      <w:spacing w:beforeLines="0" w:beforeAutospacing="0" w:afterLines="0" w:afterAutospacing="0" w:line="560" w:lineRule="exact"/>
      <w:outlineLvl w:val="3"/>
    </w:pPr>
    <w:rPr>
      <w:rFonts w:ascii="Arial" w:hAnsi="Arial" w:eastAsia="黑体"/>
      <w:b/>
      <w:sz w:val="28"/>
    </w:rPr>
  </w:style>
  <w:style w:type="character" w:default="1" w:styleId="9">
    <w:name w:val="Default Paragraph Font"/>
    <w:semiHidden/>
    <w:qFormat/>
    <w:uiPriority w:val="0"/>
    <w:rPr>
      <w:rFonts w:ascii="Calibri" w:hAnsi="Calibri" w:eastAsia="仿宋_GB2312"/>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Body Text"/>
    <w:basedOn w:val="1"/>
    <w:qFormat/>
    <w:uiPriority w:val="0"/>
    <w:pPr>
      <w:spacing w:afterLines="0" w:afterAutospacing="0" w:line="560" w:lineRule="exact"/>
    </w:pPr>
    <w:rPr>
      <w:rFonts w:eastAsia="仿宋_GB2312"/>
    </w:rPr>
  </w:style>
  <w:style w:type="paragraph" w:styleId="5">
    <w:name w:val="Plain Text"/>
    <w:basedOn w:val="1"/>
    <w:qFormat/>
    <w:uiPriority w:val="0"/>
    <w:rPr>
      <w:rFonts w:ascii="宋体" w:hAnsi="Courier New"/>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4"/>
    <w:next w:val="1"/>
    <w:qFormat/>
    <w:uiPriority w:val="0"/>
    <w:pPr>
      <w:spacing w:line="560" w:lineRule="exact"/>
      <w:ind w:firstLine="88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2024-01-11T03:26:00Z</dcterms:created>
  <dc:creator>芝士改变命运</dc:creator>
  <cp:lastModifiedBy>shen</cp:lastModifiedBy>
  <cp:lastPrinted>2024-01-15T08:00:00Z</cp:lastPrinted>
  <dcterms:modified xsi:type="dcterms:W3CDTF">2024-01-22T06:18:55Z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