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北京市大兴区统计局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widowControl/>
        <w:spacing w:line="560" w:lineRule="exact"/>
        <w:jc w:val="left"/>
        <w:rPr>
          <w:rFonts w:hint="eastAsia" w:ascii="微软雅黑" w:hAnsi="微软雅黑" w:eastAsia="微软雅黑" w:cs="宋体"/>
          <w:color w:val="404040"/>
          <w:kern w:val="0"/>
          <w:sz w:val="24"/>
          <w:lang w:bidi="ar"/>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仿宋_GB2312" w:eastAsia="仿宋_GB2312" w:cs="仿宋_GB2312"/>
          <w:spacing w:val="8"/>
          <w:kern w:val="0"/>
          <w:sz w:val="32"/>
          <w:szCs w:val="32"/>
          <w:lang w:eastAsia="zh-CN"/>
        </w:rPr>
      </w:pPr>
      <w:r>
        <w:rPr>
          <w:rFonts w:hint="eastAsia" w:ascii="楷体_GB2312" w:hAnsi="楷体_GB2312" w:eastAsia="楷体_GB2312" w:cs="楷体_GB2312"/>
          <w:spacing w:val="8"/>
          <w:kern w:val="0"/>
          <w:sz w:val="32"/>
          <w:szCs w:val="32"/>
          <w:lang w:eastAsia="zh-CN"/>
        </w:rPr>
        <w:t>（一）组织领导情况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按照“统一协调、分工负责”原则，明确政务公开分管负责领导及牵头科室，组织推进、指导协调统计信息公开工作，全年共召开4次工作部署、协调会，确保政务公开工作程序规范、运转有序。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spacing w:val="8"/>
          <w:kern w:val="0"/>
          <w:sz w:val="32"/>
          <w:szCs w:val="32"/>
          <w:lang w:eastAsia="zh-CN"/>
        </w:rPr>
      </w:pPr>
      <w:r>
        <w:rPr>
          <w:rFonts w:hint="eastAsia" w:ascii="楷体_GB2312" w:hAnsi="楷体_GB2312" w:eastAsia="楷体_GB2312" w:cs="楷体_GB2312"/>
          <w:spacing w:val="8"/>
          <w:kern w:val="0"/>
          <w:sz w:val="32"/>
          <w:szCs w:val="32"/>
          <w:lang w:val="en-US" w:eastAsia="zh-CN" w:bidi="ar-SA"/>
        </w:rPr>
        <w:t>（二）主动公开情况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仿宋_GB2312" w:eastAsia="仿宋_GB2312" w:cs="仿宋_GB2312"/>
          <w:color w:val="000000"/>
          <w:kern w:val="0"/>
          <w:sz w:val="32"/>
          <w:szCs w:val="32"/>
        </w:rPr>
        <w:t>按照《</w:t>
      </w:r>
      <w:r>
        <w:rPr>
          <w:rFonts w:hint="eastAsia" w:ascii="仿宋_GB2312" w:hAnsi="仿宋_GB2312" w:eastAsia="仿宋_GB2312" w:cs="仿宋_GB2312"/>
          <w:color w:val="000000"/>
          <w:kern w:val="0"/>
          <w:sz w:val="32"/>
          <w:szCs w:val="32"/>
          <w:lang w:eastAsia="zh-CN"/>
        </w:rPr>
        <w:t>政府信息公开</w:t>
      </w:r>
      <w:r>
        <w:rPr>
          <w:rFonts w:hint="eastAsia" w:ascii="仿宋_GB2312" w:hAnsi="仿宋_GB2312" w:eastAsia="仿宋_GB2312" w:cs="仿宋_GB2312"/>
          <w:color w:val="000000"/>
          <w:kern w:val="0"/>
          <w:sz w:val="32"/>
          <w:szCs w:val="32"/>
        </w:rPr>
        <w:t>条例》第十九至二十六条规定的主动公开政府信息范围，开展本单位政府信息主动公开工作。通过不同渠道和方式公开政府信息的情况，2</w:t>
      </w:r>
      <w:r>
        <w:rPr>
          <w:rFonts w:hint="eastAsia" w:ascii="仿宋_GB2312" w:hAnsi="仿宋_GB2312" w:eastAsia="仿宋_GB2312" w:cs="仿宋_GB2312"/>
          <w:color w:val="000000"/>
          <w:kern w:val="0"/>
          <w:sz w:val="32"/>
          <w:szCs w:val="32"/>
          <w:lang w:val="en-US" w:eastAsia="zh-CN"/>
        </w:rPr>
        <w:t>023</w:t>
      </w:r>
      <w:r>
        <w:rPr>
          <w:rFonts w:hint="eastAsia" w:ascii="仿宋_GB2312" w:hAnsi="仿宋_GB2312" w:eastAsia="仿宋_GB2312" w:cs="仿宋_GB2312"/>
          <w:color w:val="000000"/>
          <w:kern w:val="0"/>
          <w:sz w:val="32"/>
          <w:szCs w:val="32"/>
        </w:rPr>
        <w:t>年本局在“政府信息公开专栏”主动公开政府信息</w:t>
      </w:r>
      <w:r>
        <w:rPr>
          <w:rFonts w:hint="eastAsia" w:ascii="仿宋_GB2312" w:hAnsi="仿宋_GB2312" w:eastAsia="仿宋_GB2312" w:cs="仿宋_GB2312"/>
          <w:color w:val="000000"/>
          <w:kern w:val="0"/>
          <w:sz w:val="32"/>
          <w:szCs w:val="32"/>
          <w:lang w:val="en-US" w:eastAsia="zh-CN"/>
        </w:rPr>
        <w:t>248</w:t>
      </w:r>
      <w:r>
        <w:rPr>
          <w:rFonts w:hint="eastAsia" w:ascii="仿宋_GB2312" w:hAnsi="仿宋_GB2312" w:eastAsia="仿宋_GB2312" w:cs="仿宋_GB2312"/>
          <w:color w:val="000000"/>
          <w:kern w:val="0"/>
          <w:sz w:val="32"/>
          <w:szCs w:val="32"/>
        </w:rPr>
        <w:t>条，政务微博公开政府信息数</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条；政务微信公开政府信息数</w:t>
      </w:r>
      <w:r>
        <w:rPr>
          <w:rFonts w:hint="eastAsia" w:ascii="仿宋_GB2312" w:hAnsi="仿宋_GB2312" w:eastAsia="仿宋_GB2312" w:cs="仿宋_GB2312"/>
          <w:color w:val="000000"/>
          <w:kern w:val="0"/>
          <w:sz w:val="32"/>
          <w:szCs w:val="32"/>
          <w:lang w:val="en-US" w:eastAsia="zh-CN"/>
        </w:rPr>
        <w:t>117</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auto"/>
          <w:sz w:val="32"/>
          <w:szCs w:val="32"/>
          <w:highlight w:val="none"/>
          <w:lang w:val="en-US" w:eastAsia="zh-CN"/>
        </w:rPr>
        <w:t>2023年</w:t>
      </w:r>
      <w:r>
        <w:rPr>
          <w:rFonts w:ascii="仿宋_GB2312" w:hAnsi="仿宋_GB2312" w:eastAsia="仿宋_GB2312" w:cs="仿宋_GB2312"/>
          <w:sz w:val="32"/>
          <w:szCs w:val="32"/>
        </w:rPr>
        <w:t>通过区12345派单系统、区级或本单位政务新媒体等网民咨询平台，接到简单咨询</w:t>
      </w:r>
      <w:r>
        <w:rPr>
          <w:rFonts w:hint="eastAsia" w:ascii="仿宋_GB2312" w:hAnsi="仿宋_GB2312" w:eastAsia="仿宋_GB2312" w:cs="仿宋_GB2312"/>
          <w:sz w:val="32"/>
          <w:szCs w:val="32"/>
          <w:lang w:eastAsia="zh-CN"/>
        </w:rPr>
        <w:t>及热线案件</w:t>
      </w:r>
      <w:r>
        <w:rPr>
          <w:rFonts w:hint="eastAsia" w:ascii="仿宋_GB2312" w:hAnsi="仿宋_GB2312" w:eastAsia="仿宋_GB2312" w:cs="仿宋_GB2312"/>
          <w:sz w:val="32"/>
          <w:szCs w:val="32"/>
          <w:lang w:val="en-US" w:eastAsia="zh-CN"/>
        </w:rPr>
        <w:t>17件，均在规定时限内</w:t>
      </w:r>
      <w:r>
        <w:rPr>
          <w:rFonts w:ascii="仿宋_GB2312" w:hAnsi="仿宋_GB2312" w:eastAsia="仿宋_GB2312" w:cs="仿宋_GB2312"/>
          <w:sz w:val="32"/>
          <w:szCs w:val="32"/>
        </w:rPr>
        <w:t>内完成反馈</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（三）依申请公开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color w:val="000000"/>
          <w:kern w:val="0"/>
          <w:sz w:val="32"/>
          <w:szCs w:val="32"/>
          <w:lang w:eastAsia="zh-CN"/>
        </w:rPr>
        <w:t>按</w:t>
      </w:r>
      <w:r>
        <w:rPr>
          <w:rFonts w:hint="eastAsia" w:ascii="仿宋_GB2312" w:hAnsi="仿宋_GB2312" w:eastAsia="仿宋_GB2312" w:cs="仿宋_GB2312"/>
          <w:color w:val="000000"/>
          <w:kern w:val="0"/>
          <w:sz w:val="32"/>
          <w:szCs w:val="32"/>
        </w:rPr>
        <w:t>照《</w:t>
      </w:r>
      <w:r>
        <w:rPr>
          <w:rFonts w:hint="eastAsia" w:ascii="仿宋_GB2312" w:hAnsi="仿宋_GB2312" w:eastAsia="仿宋_GB2312" w:cs="仿宋_GB2312"/>
          <w:color w:val="000000"/>
          <w:kern w:val="0"/>
          <w:sz w:val="32"/>
          <w:szCs w:val="32"/>
          <w:lang w:eastAsia="zh-CN"/>
        </w:rPr>
        <w:t>政府信息公开</w:t>
      </w:r>
      <w:r>
        <w:rPr>
          <w:rFonts w:hint="eastAsia" w:ascii="仿宋_GB2312" w:hAnsi="仿宋_GB2312" w:eastAsia="仿宋_GB2312" w:cs="仿宋_GB2312"/>
          <w:color w:val="000000"/>
          <w:kern w:val="0"/>
          <w:sz w:val="32"/>
          <w:szCs w:val="32"/>
        </w:rPr>
        <w:t>条例》第二十七条规定，</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0"/>
          <w:sz w:val="32"/>
          <w:szCs w:val="32"/>
        </w:rPr>
        <w:t>自《</w:t>
      </w:r>
      <w:r>
        <w:rPr>
          <w:rFonts w:hint="eastAsia" w:ascii="仿宋_GB2312" w:hAnsi="仿宋_GB2312" w:eastAsia="仿宋_GB2312" w:cs="仿宋_GB2312"/>
          <w:color w:val="000000"/>
          <w:kern w:val="0"/>
          <w:sz w:val="32"/>
          <w:szCs w:val="32"/>
          <w:lang w:eastAsia="zh-CN"/>
        </w:rPr>
        <w:t>政府信息公开</w:t>
      </w:r>
      <w:r>
        <w:rPr>
          <w:rFonts w:hint="eastAsia" w:ascii="仿宋_GB2312" w:hAnsi="仿宋_GB2312" w:eastAsia="仿宋_GB2312" w:cs="仿宋_GB2312"/>
          <w:color w:val="000000"/>
          <w:kern w:val="0"/>
          <w:sz w:val="32"/>
          <w:szCs w:val="32"/>
        </w:rPr>
        <w:t>条例》实施之日起正式受理</w:t>
      </w:r>
      <w:r>
        <w:rPr>
          <w:rFonts w:hint="eastAsia" w:ascii="仿宋_GB2312" w:hAnsi="仿宋_GB2312" w:eastAsia="仿宋_GB2312" w:cs="仿宋_GB2312"/>
          <w:color w:val="000000"/>
          <w:sz w:val="32"/>
          <w:szCs w:val="32"/>
        </w:rPr>
        <w:t>公民、法人或者其他组织根据自身生产、生活、科研等特殊需要提出的政府信息公开申请。</w:t>
      </w:r>
      <w:r>
        <w:rPr>
          <w:rFonts w:hint="eastAsia" w:ascii="仿宋_GB2312" w:hAnsi="仿宋_GB2312" w:eastAsia="仿宋_GB2312" w:cs="仿宋_GB2312"/>
          <w:spacing w:val="8"/>
          <w:kern w:val="0"/>
          <w:sz w:val="32"/>
          <w:szCs w:val="32"/>
          <w:lang w:val="en-US" w:eastAsia="zh-CN"/>
        </w:rPr>
        <w:t>2023年，我局收到依申请公开案件2起，其中：1件予以公开，按照规定流程按期答复；1件申请人主动撤销案件。未发生针对大兴区统计局政府信息公开的行政复议及行政诉讼情况。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(四）政府信息管理情况</w:t>
      </w:r>
    </w:p>
    <w:p>
      <w:pPr>
        <w:keepNext w:val="0"/>
        <w:keepLines w:val="0"/>
        <w:pageBreakBefore w:val="0"/>
        <w:widowControl/>
        <w:kinsoku/>
        <w:wordWrap/>
        <w:overflowPunct/>
        <w:topLinePunct w:val="0"/>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为推动</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rPr>
        <w:t>政府信息资源规范化及标准化管理，</w:t>
      </w:r>
      <w:r>
        <w:rPr>
          <w:rFonts w:hint="eastAsia" w:ascii="仿宋_GB2312" w:hAnsi="仿宋_GB2312" w:eastAsia="仿宋_GB2312" w:cs="仿宋_GB2312"/>
          <w:spacing w:val="8"/>
          <w:kern w:val="0"/>
          <w:sz w:val="32"/>
          <w:szCs w:val="32"/>
          <w:lang w:val="en-US" w:eastAsia="zh-CN"/>
        </w:rPr>
        <w:t>紧紧围绕全区中心工作和区域功能定位，充分发挥统计参谋助手的作用，为社会提供统计服务、解读统计数据、搭建沟通桥梁、展示统计风采的职责作用。</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是进一步完善、明确本局</w:t>
      </w:r>
      <w:r>
        <w:rPr>
          <w:rFonts w:hint="eastAsia" w:ascii="仿宋_GB2312" w:hAnsi="仿宋_GB2312" w:eastAsia="仿宋_GB2312" w:cs="仿宋_GB2312"/>
          <w:color w:val="000000"/>
          <w:kern w:val="0"/>
          <w:sz w:val="32"/>
          <w:szCs w:val="32"/>
        </w:rPr>
        <w:t>信息公开</w:t>
      </w:r>
      <w:r>
        <w:rPr>
          <w:rFonts w:hint="eastAsia" w:ascii="仿宋_GB2312" w:hAnsi="仿宋_GB2312" w:eastAsia="仿宋_GB2312" w:cs="仿宋_GB2312"/>
          <w:color w:val="000000"/>
          <w:kern w:val="0"/>
          <w:sz w:val="32"/>
          <w:szCs w:val="32"/>
          <w:lang w:eastAsia="zh-CN"/>
        </w:rPr>
        <w:t>负责人分工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明确</w:t>
      </w:r>
      <w:r>
        <w:rPr>
          <w:rFonts w:hint="eastAsia" w:ascii="仿宋_GB2312" w:hAnsi="仿宋_GB2312" w:eastAsia="仿宋_GB2312" w:cs="仿宋_GB2312"/>
          <w:color w:val="000000"/>
          <w:kern w:val="0"/>
          <w:sz w:val="32"/>
          <w:szCs w:val="32"/>
          <w:lang w:eastAsia="zh-CN"/>
        </w:rPr>
        <w:t>各科室职责</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sz w:val="32"/>
          <w:szCs w:val="32"/>
          <w:lang w:val="en-US" w:eastAsia="zh-CN"/>
        </w:rPr>
        <w:t>及时整理在工作中遇到的难点重点问题，加强部门间沟通协调，使工作流程标准化、便捷化</w:t>
      </w:r>
      <w:r>
        <w:rPr>
          <w:rFonts w:hint="eastAsia" w:ascii="仿宋_GB2312" w:hAnsi="仿宋_GB2312" w:eastAsia="仿宋_GB2312" w:cs="仿宋_GB2312"/>
          <w:kern w:val="0"/>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（五）政府信息公开平台建设情况</w:t>
      </w:r>
    </w:p>
    <w:p>
      <w:pPr>
        <w:keepNext w:val="0"/>
        <w:keepLines w:val="0"/>
        <w:pageBreakBefore w:val="0"/>
        <w:kinsoku/>
        <w:wordWrap/>
        <w:overflowPunct/>
        <w:topLinePunct w:val="0"/>
        <w:autoSpaceDE w:val="0"/>
        <w:autoSpaceDN w:val="0"/>
        <w:bidi w:val="0"/>
        <w:adjustRightInd/>
        <w:snapToGrid/>
        <w:spacing w:line="560" w:lineRule="exact"/>
        <w:ind w:left="0" w:leftChars="0" w:right="0" w:rightChars="0" w:firstLine="672" w:firstLineChars="200"/>
        <w:jc w:val="both"/>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spacing w:val="8"/>
          <w:kern w:val="0"/>
          <w:sz w:val="32"/>
          <w:szCs w:val="32"/>
          <w:lang w:val="en-US" w:eastAsia="zh-CN"/>
        </w:rPr>
        <w:t>一是开展以“经济大普查 数说新时代”为主题的政务开放日活动，邀请人大代表、政协委员、企业代表、普查两员和媒体记者等参与现场活动，并在北京大兴app和北京大兴官方微博进行同步直播，扩大影响力，推动统计工作发展。二是在生物医药产业基地和大兴经开区开展两场政策公开讲活动，根据企业需求，定制服务内容。三是</w:t>
      </w:r>
      <w:r>
        <w:rPr>
          <w:rFonts w:hint="eastAsia" w:ascii="仿宋_GB2312" w:hAnsi="仿宋_GB2312" w:eastAsia="仿宋_GB2312" w:cs="仿宋_GB2312"/>
          <w:color w:val="000000" w:themeColor="text1"/>
          <w:kern w:val="0"/>
          <w:sz w:val="32"/>
          <w:szCs w:val="32"/>
          <w14:textFill>
            <w14:solidFill>
              <w14:schemeClr w14:val="tx1"/>
            </w14:solidFill>
          </w14:textFill>
        </w:rPr>
        <w:t>创新形式开展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五经普线上、线下</w:t>
      </w:r>
      <w:r>
        <w:rPr>
          <w:rFonts w:hint="eastAsia" w:ascii="仿宋_GB2312" w:hAnsi="仿宋_GB2312" w:eastAsia="仿宋_GB2312" w:cs="仿宋_GB2312"/>
          <w:color w:val="000000" w:themeColor="text1"/>
          <w:kern w:val="0"/>
          <w:sz w:val="32"/>
          <w:szCs w:val="32"/>
          <w14:textFill>
            <w14:solidFill>
              <w14:schemeClr w14:val="tx1"/>
            </w14:solidFill>
          </w14:textFill>
        </w:rPr>
        <w:t>竞答活动，创新公众参与方式，进一步提升公众参与实效，</w:t>
      </w:r>
      <w:r>
        <w:rPr>
          <w:rFonts w:hint="eastAsia" w:ascii="仿宋_GB2312" w:eastAsia="仿宋_GB2312"/>
          <w:sz w:val="32"/>
          <w:szCs w:val="32"/>
        </w:rPr>
        <w:t>加强公众对于统计工作的了解与认知。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pacing w:val="8"/>
          <w:kern w:val="0"/>
          <w:sz w:val="32"/>
          <w:szCs w:val="32"/>
          <w:lang w:val="en-US" w:eastAsia="zh-CN" w:bidi="ar-SA"/>
        </w:rPr>
        <w:t>（六）教育培训情况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
          <w:kern w:val="0"/>
          <w:sz w:val="32"/>
          <w:szCs w:val="32"/>
          <w:lang w:val="en-US" w:eastAsia="zh-CN"/>
        </w:rPr>
        <w:t>积极参与区级政务公开工作培训会，及时传达有关信息公开工作的新精神、新变化。力求适应政府信息公开工作的要求，提高工作人员的法律意识、责任意识，明确工作任务、工作标准和工作要求，使工作人员熟练掌握政府信息公开工作流程和操作知识，提高政府信息公开工作人员的综合素质，为做好此项工作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（七）监督保障情况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val="en-US" w:eastAsia="zh-CN"/>
        </w:rPr>
        <w:t>我局持续将政务公开纳入工作考核，强化日常监督。</w:t>
      </w:r>
      <w:r>
        <w:rPr>
          <w:rFonts w:hint="eastAsia" w:ascii="仿宋_GB2312" w:hAnsi="仿宋_GB2312" w:eastAsia="仿宋_GB2312" w:cs="仿宋_GB2312"/>
          <w:spacing w:val="8"/>
          <w:kern w:val="0"/>
          <w:sz w:val="32"/>
          <w:szCs w:val="32"/>
          <w:lang w:eastAsia="zh-CN"/>
        </w:rPr>
        <w:t>建立定期“巡检制”，设立政务公开巡查台账，按照栏目发布频率要求，挂图作战，</w:t>
      </w:r>
      <w:r>
        <w:rPr>
          <w:rFonts w:hint="eastAsia" w:ascii="仿宋_GB2312" w:hAnsi="仿宋_GB2312" w:eastAsia="仿宋_GB2312" w:cs="仿宋_GB2312"/>
          <w:spacing w:val="8"/>
          <w:kern w:val="0"/>
          <w:sz w:val="32"/>
          <w:szCs w:val="32"/>
          <w:lang w:val="en-US" w:eastAsia="zh-CN"/>
        </w:rPr>
        <w:t>确保了政府信息公开工作按时发布、有序开展</w:t>
      </w:r>
      <w:r>
        <w:rPr>
          <w:rFonts w:hint="eastAsia" w:ascii="仿宋_GB2312" w:hAnsi="仿宋_GB2312" w:eastAsia="仿宋_GB2312" w:cs="仿宋_GB2312"/>
          <w:spacing w:val="8"/>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黑体" w:hAnsi="宋体" w:eastAsia="黑体" w:cs="黑体"/>
          <w:sz w:val="32"/>
          <w:szCs w:val="32"/>
        </w:rPr>
      </w:pPr>
      <w:r>
        <w:rPr>
          <w:rFonts w:hint="eastAsia" w:ascii="黑体" w:hAnsi="黑体" w:eastAsia="黑体" w:cs="黑体"/>
          <w:spacing w:val="8"/>
          <w:kern w:val="0"/>
          <w:sz w:val="32"/>
          <w:szCs w:val="32"/>
          <w:lang w:eastAsia="zh-CN"/>
        </w:rPr>
        <w:t>二、</w:t>
      </w:r>
      <w:r>
        <w:rPr>
          <w:rFonts w:hint="eastAsia" w:ascii="黑体" w:hAnsi="黑体" w:eastAsia="黑体" w:cs="黑体"/>
          <w:sz w:val="32"/>
          <w:szCs w:val="32"/>
          <w:lang w:bidi="ar"/>
        </w:rPr>
        <w:t>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94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4"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4"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4"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2</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center"/>
          </w:tcPr>
          <w:p>
            <w:pPr>
              <w:widowControl/>
              <w:jc w:val="left"/>
              <w:rPr>
                <w:u w:val="none"/>
              </w:rPr>
            </w:pPr>
            <w:r>
              <w:rPr>
                <w:rFonts w:hint="eastAsia" w:ascii="宋体" w:hAnsi="宋体" w:cs="宋体"/>
                <w:kern w:val="0"/>
                <w:sz w:val="20"/>
                <w:szCs w:val="20"/>
                <w:u w:val="none"/>
                <w:lang w:bidi="ar"/>
              </w:rPr>
              <w:t>（一）予以公开</w:t>
            </w:r>
          </w:p>
        </w:tc>
        <w:tc>
          <w:tcPr>
            <w:tcW w:w="688" w:type="dxa"/>
            <w:tcBorders>
              <w:top w:val="nil"/>
              <w:left w:val="single" w:color="auto" w:sz="4"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center"/>
          </w:tcPr>
          <w:p>
            <w:pPr>
              <w:widowControl/>
              <w:jc w:val="left"/>
              <w:rPr>
                <w:u w:val="none"/>
              </w:rPr>
            </w:pPr>
            <w:r>
              <w:rPr>
                <w:rFonts w:hint="eastAsia" w:ascii="宋体" w:hAnsi="宋体" w:cs="宋体"/>
                <w:kern w:val="0"/>
                <w:sz w:val="20"/>
                <w:szCs w:val="20"/>
                <w:u w:val="none"/>
                <w:lang w:bidi="ar"/>
              </w:rPr>
              <w:t>（二）部分公开</w:t>
            </w:r>
            <w:r>
              <w:rPr>
                <w:rFonts w:hint="eastAsia" w:ascii="楷体" w:hAnsi="楷体" w:eastAsia="楷体" w:cs="楷体"/>
                <w:kern w:val="0"/>
                <w:sz w:val="20"/>
                <w:szCs w:val="20"/>
                <w:u w:val="none"/>
                <w:lang w:bidi="ar"/>
              </w:rPr>
              <w:t>（区分处理的，只计这一情形，不计其他情形）</w:t>
            </w:r>
          </w:p>
        </w:tc>
        <w:tc>
          <w:tcPr>
            <w:tcW w:w="688" w:type="dxa"/>
            <w:tcBorders>
              <w:top w:val="nil"/>
              <w:left w:val="single" w:color="auto" w:sz="4"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center"/>
          </w:tcPr>
          <w:p>
            <w:pPr>
              <w:widowControl/>
              <w:jc w:val="left"/>
              <w:rPr>
                <w:u w:val="none"/>
              </w:rPr>
            </w:pPr>
            <w:r>
              <w:rPr>
                <w:rFonts w:hint="eastAsia" w:ascii="宋体" w:hAnsi="宋体" w:cs="宋体"/>
                <w:kern w:val="0"/>
                <w:sz w:val="20"/>
                <w:szCs w:val="20"/>
                <w:u w:val="none"/>
                <w:lang w:bidi="ar"/>
              </w:rPr>
              <w:t>（三）不予公开</w:t>
            </w:r>
          </w:p>
        </w:tc>
        <w:tc>
          <w:tcPr>
            <w:tcW w:w="3220" w:type="dxa"/>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top"/>
          </w:tcPr>
          <w:p>
            <w:pPr>
              <w:widowControl/>
              <w:jc w:val="left"/>
              <w:rPr>
                <w:u w:val="none"/>
              </w:rPr>
            </w:pPr>
            <w:r>
              <w:rPr>
                <w:rFonts w:hint="eastAsia" w:ascii="宋体" w:hAnsi="宋体" w:cs="宋体"/>
                <w:kern w:val="0"/>
                <w:sz w:val="20"/>
                <w:szCs w:val="20"/>
                <w:u w:val="none"/>
                <w:lang w:bidi="ar"/>
              </w:rPr>
              <w:t>1.属于国家秘密</w:t>
            </w:r>
          </w:p>
        </w:tc>
        <w:tc>
          <w:tcPr>
            <w:tcW w:w="688" w:type="dxa"/>
            <w:tcBorders>
              <w:top w:val="nil"/>
              <w:left w:val="single" w:color="auto" w:sz="4" w:space="0"/>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8" w:space="0"/>
              <w:left w:val="single" w:color="auto" w:sz="0" w:space="0"/>
              <w:bottom w:val="single" w:color="auto" w:sz="4"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4" w:space="0"/>
              <w:left w:val="single" w:color="auto" w:sz="4" w:space="0"/>
              <w:bottom w:val="inset" w:color="auto" w:sz="8" w:space="0"/>
              <w:right w:val="single" w:color="auto" w:sz="4"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4"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4"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single" w:color="auto" w:sz="4" w:space="0"/>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4"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4"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4" w:space="0"/>
              <w:bottom w:val="single" w:color="auto" w:sz="4"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single" w:color="auto" w:sz="4"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4"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4" w:space="0"/>
              <w:left w:val="single" w:color="auto" w:sz="4" w:space="0"/>
              <w:bottom w:val="single" w:color="auto" w:sz="4" w:space="0"/>
              <w:right w:val="single" w:color="auto" w:sz="4"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single" w:color="auto" w:sz="4" w:space="0"/>
              <w:bottom w:val="single" w:color="auto" w:sz="8" w:space="0"/>
              <w:right w:val="single" w:color="auto" w:sz="8" w:space="0"/>
            </w:tcBorders>
            <w:tcMar>
              <w:left w:w="57" w:type="dxa"/>
              <w:right w:w="57" w:type="dxa"/>
            </w:tcMar>
            <w:vAlign w:val="center"/>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2</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1"/>
                <w:szCs w:val="21"/>
                <w:lang w:val="en-US" w:eastAsia="zh-CN" w:bidi="ar"/>
              </w:rPr>
            </w:pPr>
            <w:r>
              <w:rPr>
                <w:rFonts w:hint="eastAsia" w:cs="Calibri"/>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4" w:space="0"/>
              <w:left w:val="single" w:color="auto" w:sz="4" w:space="0"/>
              <w:bottom w:val="single" w:color="auto" w:sz="4" w:space="0"/>
              <w:right w:val="single" w:color="auto" w:sz="4"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4"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r>
    </w:tbl>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pPr>
            <w:r>
              <w:rPr>
                <w:rFonts w:hint="eastAsia"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rPr>
                <w:rFonts w:hint="eastAsia" w:ascii="宋体" w:hAnsi="Times New Roman" w:cs="宋体"/>
                <w:sz w:val="24"/>
              </w:rPr>
            </w:pPr>
            <w:r>
              <w:rPr>
                <w:rFonts w:hint="eastAsia" w:cs="Calibri"/>
                <w:kern w:val="0"/>
                <w:sz w:val="21"/>
                <w:szCs w:val="21"/>
                <w:lang w:val="en-US" w:eastAsia="zh-CN" w:bidi="ar"/>
              </w:rPr>
              <w:t>0</w:t>
            </w:r>
          </w:p>
        </w:tc>
      </w:tr>
    </w:tbl>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both"/>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存在的主要问题：统计数据解读形式还需要进一步丰富。</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72" w:firstLineChars="200"/>
        <w:jc w:val="both"/>
        <w:textAlignment w:val="auto"/>
        <w:rPr>
          <w:rFonts w:hint="eastAsia"/>
          <w:lang w:eastAsia="zh-CN"/>
        </w:rPr>
      </w:pPr>
      <w:r>
        <w:rPr>
          <w:rFonts w:hint="eastAsia" w:ascii="仿宋_GB2312" w:hAnsi="宋体" w:eastAsia="仿宋_GB2312" w:cs="宋体"/>
          <w:spacing w:val="8"/>
          <w:kern w:val="0"/>
          <w:sz w:val="32"/>
          <w:szCs w:val="32"/>
          <w:lang w:eastAsia="zh-CN" w:bidi="ar"/>
        </w:rPr>
        <w:t>改进情况：坚持数据发布与数据解读同步，完善了图片图表解读形式，更易于社会公众了解统计数据</w:t>
      </w:r>
      <w:bookmarkStart w:id="0" w:name="_GoBack"/>
      <w:bookmarkEnd w:id="0"/>
      <w:r>
        <w:rPr>
          <w:rFonts w:hint="eastAsia" w:ascii="仿宋_GB2312" w:hAnsi="宋体" w:eastAsia="仿宋_GB2312" w:cs="宋体"/>
          <w:spacing w:val="8"/>
          <w:kern w:val="0"/>
          <w:sz w:val="32"/>
          <w:szCs w:val="32"/>
          <w:lang w:eastAsia="zh-CN" w:bidi="ar"/>
        </w:rPr>
        <w:t>，增强了信息公开工作的实用性。</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p>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7AE1"/>
    <w:rsid w:val="67F54490"/>
    <w:rsid w:val="6A280896"/>
    <w:rsid w:val="71A1268C"/>
    <w:rsid w:val="7D7F7AE1"/>
    <w:rsid w:val="7F776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2024-01-02T15:18:00Z</dcterms:created>
  <dc:creator>统计局公文</dc:creator>
  <cp:lastModifiedBy>user</cp:lastModifiedBy>
  <dcterms:modified xsi:type="dcterms:W3CDTF">2024-01-05T14:43:55Z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