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北京市大兴区黄村镇人民政府</w:t>
      </w:r>
    </w:p>
    <w:p>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sz w:val="44"/>
          <w:szCs w:val="44"/>
          <w:lang w:bidi="ar"/>
        </w:rPr>
        <w:t>2023年政府信息公开工作年度报告</w:t>
      </w: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spacing w:line="560" w:lineRule="exact"/>
        <w:ind w:left="0" w:leftChars="0"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楷体_GB2312" w:hAnsi="楷体_GB2312" w:eastAsia="楷体_GB2312" w:cs="楷体_GB2312"/>
          <w:sz w:val="32"/>
          <w:szCs w:val="32"/>
          <w:lang w:eastAsia="zh-CN"/>
        </w:rPr>
        <w:t>（一）组织领导情况。</w:t>
      </w:r>
      <w:r>
        <w:rPr>
          <w:rFonts w:hint="eastAsia" w:ascii="仿宋_GB2312" w:hAnsi="仿宋_GB2312" w:eastAsia="仿宋_GB2312" w:cs="仿宋_GB2312"/>
          <w:i w:val="0"/>
          <w:caps w:val="0"/>
          <w:color w:val="0C0C0C"/>
          <w:spacing w:val="0"/>
          <w:sz w:val="32"/>
          <w:szCs w:val="32"/>
          <w:shd w:val="clear" w:fill="FFFFFF"/>
          <w:lang w:eastAsia="zh-CN"/>
        </w:rPr>
        <w:t>我镇</w:t>
      </w:r>
      <w:bookmarkStart w:id="0" w:name="_GoBack"/>
      <w:bookmarkEnd w:id="0"/>
      <w:r>
        <w:rPr>
          <w:rFonts w:hint="eastAsia" w:ascii="仿宋_GB2312" w:hAnsi="仿宋_GB2312" w:eastAsia="仿宋_GB2312" w:cs="仿宋_GB2312"/>
          <w:i w:val="0"/>
          <w:caps w:val="0"/>
          <w:color w:val="0C0C0C"/>
          <w:spacing w:val="0"/>
          <w:sz w:val="32"/>
          <w:szCs w:val="32"/>
          <w:shd w:val="clear" w:fill="FFFFFF"/>
          <w:lang w:eastAsia="zh-CN"/>
        </w:rPr>
        <w:t>认真落实《政府信息公开条例》中的各项要求，及时开展政府信息公开工作，并不断优化信息公开渠道，拓展信息公开业务，提高信息公开效率,信息公开基本做到及时、准确、高效。成立政府信息公开领导小组，由党委副书记任组长，办公室主任任副组长，办公室工作人员为成员，协调推动政府信息公开工作的开展，确保政府信息公开各项工作顺利推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楷体_GB2312" w:hAnsi="楷体_GB2312" w:eastAsia="楷体_GB2312" w:cs="楷体_GB2312"/>
          <w:sz w:val="32"/>
          <w:szCs w:val="32"/>
          <w:lang w:eastAsia="zh-CN"/>
        </w:rPr>
        <w:t>（二）主动公开情况。</w:t>
      </w:r>
      <w:r>
        <w:rPr>
          <w:rFonts w:hint="eastAsia" w:ascii="仿宋_GB2312" w:hAnsi="仿宋_GB2312" w:eastAsia="仿宋_GB2312" w:cs="仿宋_GB2312"/>
          <w:i w:val="0"/>
          <w:caps w:val="0"/>
          <w:color w:val="0C0C0C"/>
          <w:spacing w:val="0"/>
          <w:sz w:val="32"/>
          <w:szCs w:val="32"/>
          <w:shd w:val="clear" w:fill="FFFFFF"/>
          <w:lang w:eastAsia="zh-CN"/>
        </w:rPr>
        <w:t>根据全镇政府信息公开工作统一部署和要求，20</w:t>
      </w:r>
      <w:r>
        <w:rPr>
          <w:rFonts w:hint="eastAsia" w:ascii="仿宋_GB2312" w:hAnsi="仿宋_GB2312" w:eastAsia="仿宋_GB2312" w:cs="仿宋_GB2312"/>
          <w:i w:val="0"/>
          <w:caps w:val="0"/>
          <w:color w:val="0C0C0C"/>
          <w:spacing w:val="0"/>
          <w:sz w:val="32"/>
          <w:szCs w:val="32"/>
          <w:shd w:val="clear" w:fill="FFFFFF"/>
          <w:lang w:val="en-US" w:eastAsia="zh-CN"/>
        </w:rPr>
        <w:t>23</w:t>
      </w:r>
      <w:r>
        <w:rPr>
          <w:rFonts w:hint="eastAsia" w:ascii="仿宋_GB2312" w:hAnsi="仿宋_GB2312" w:eastAsia="仿宋_GB2312" w:cs="仿宋_GB2312"/>
          <w:i w:val="0"/>
          <w:caps w:val="0"/>
          <w:color w:val="0C0C0C"/>
          <w:spacing w:val="0"/>
          <w:sz w:val="32"/>
          <w:szCs w:val="32"/>
          <w:shd w:val="clear" w:fill="FFFFFF"/>
          <w:lang w:eastAsia="zh-CN"/>
        </w:rPr>
        <w:t>年，通过政府信息平台及“今日黄村”微信公众号和视频号，同步公开发布各类政务信息</w:t>
      </w:r>
      <w:r>
        <w:rPr>
          <w:rFonts w:hint="eastAsia" w:ascii="仿宋_GB2312" w:hAnsi="仿宋_GB2312" w:eastAsia="仿宋_GB2312" w:cs="仿宋_GB2312"/>
          <w:i w:val="0"/>
          <w:caps w:val="0"/>
          <w:color w:val="0C0C0C"/>
          <w:spacing w:val="0"/>
          <w:sz w:val="32"/>
          <w:szCs w:val="32"/>
          <w:shd w:val="clear" w:fill="FFFFFF"/>
          <w:lang w:val="en-US" w:eastAsia="zh-CN"/>
        </w:rPr>
        <w:t>2000</w:t>
      </w:r>
      <w:r>
        <w:rPr>
          <w:rFonts w:hint="eastAsia" w:ascii="仿宋_GB2312" w:hAnsi="仿宋_GB2312" w:eastAsia="仿宋_GB2312" w:cs="仿宋_GB2312"/>
          <w:i w:val="0"/>
          <w:caps w:val="0"/>
          <w:color w:val="0C0C0C"/>
          <w:spacing w:val="0"/>
          <w:sz w:val="32"/>
          <w:szCs w:val="32"/>
          <w:shd w:val="clear" w:fill="FFFFFF"/>
          <w:lang w:eastAsia="zh-CN"/>
        </w:rPr>
        <w:t>余条，公开信息内容涵盖民生实事、重点工程、地区规划、工作计划、工作总结、应急预案、政府工作报告等。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val="en-US" w:eastAsia="zh-CN"/>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val="en-US" w:eastAsia="zh-CN"/>
        </w:rPr>
        <w:t>依申请公开办理情况。</w:t>
      </w:r>
      <w:r>
        <w:rPr>
          <w:rFonts w:hint="eastAsia" w:ascii="仿宋_GB2312" w:hAnsi="仿宋_GB2312" w:eastAsia="仿宋_GB2312" w:cs="仿宋_GB2312"/>
          <w:i w:val="0"/>
          <w:caps w:val="0"/>
          <w:color w:val="0C0C0C"/>
          <w:spacing w:val="0"/>
          <w:sz w:val="32"/>
          <w:szCs w:val="32"/>
          <w:shd w:val="clear" w:fill="FFFFFF"/>
          <w:lang w:val="en-US" w:eastAsia="zh-CN"/>
        </w:rPr>
        <w:t>坚持以“公开为常态、不公开为例外”的原则做好政府信息依申请公开工作，优化申请办理流程，加强与申请人的沟通，缩短办理答复期限，规范答复文书格式，切实提升我镇政府信息依申请公开办理工作规范化水平和质量效率。全年共接收邮寄、网络、当场提交的各类政府信息公开申请20件，按期答复20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楷体_GB2312" w:hAnsi="楷体_GB2312" w:eastAsia="楷体_GB2312" w:cs="楷体_GB2312"/>
          <w:sz w:val="32"/>
          <w:szCs w:val="32"/>
          <w:lang w:val="en-US" w:eastAsia="zh-CN"/>
        </w:rPr>
        <w:t>（四）政府信息管理情况。</w:t>
      </w:r>
      <w:r>
        <w:rPr>
          <w:rFonts w:hint="eastAsia" w:ascii="仿宋_GB2312" w:hAnsi="仿宋_GB2312" w:eastAsia="仿宋_GB2312" w:cs="仿宋_GB2312"/>
          <w:i w:val="0"/>
          <w:caps w:val="0"/>
          <w:color w:val="0C0C0C"/>
          <w:spacing w:val="0"/>
          <w:sz w:val="32"/>
          <w:szCs w:val="32"/>
          <w:shd w:val="clear" w:fill="FFFFFF"/>
          <w:lang w:val="en-US" w:eastAsia="zh-CN"/>
        </w:rPr>
        <w:t>高度重视政务信息管理，坚持依法行政，深化信息公开，不断增强工作透明度，保障群众的知情权、参与权和监督权。</w:t>
      </w:r>
      <w:r>
        <w:rPr>
          <w:rFonts w:hint="eastAsia" w:ascii="仿宋_GB2312" w:hAnsi="仿宋_GB2312" w:eastAsia="仿宋_GB2312" w:cs="仿宋_GB2312"/>
          <w:i w:val="0"/>
          <w:caps w:val="0"/>
          <w:color w:val="0C0C0C"/>
          <w:spacing w:val="0"/>
          <w:sz w:val="32"/>
          <w:szCs w:val="32"/>
          <w:shd w:val="clear" w:fill="FFFFFF"/>
          <w:lang w:eastAsia="zh-CN"/>
        </w:rPr>
        <w:t>明确政府信息维护的责任部门，细化信息发布的审核流程，更新频率等要求，确保政府信息发布的及时性和安全性。</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楷体_GB2312" w:hAnsi="楷体_GB2312" w:eastAsia="楷体_GB2312" w:cs="楷体_GB2312"/>
          <w:sz w:val="32"/>
          <w:szCs w:val="32"/>
          <w:lang w:val="en-US" w:eastAsia="zh-CN"/>
        </w:rPr>
        <w:t>（五）政府信息公开平台建设情况。</w:t>
      </w:r>
      <w:r>
        <w:rPr>
          <w:rFonts w:hint="eastAsia" w:ascii="仿宋_GB2312" w:hAnsi="仿宋_GB2312" w:eastAsia="仿宋_GB2312" w:cs="仿宋_GB2312"/>
          <w:i w:val="0"/>
          <w:caps w:val="0"/>
          <w:color w:val="0C0C0C"/>
          <w:spacing w:val="0"/>
          <w:sz w:val="32"/>
          <w:szCs w:val="32"/>
          <w:shd w:val="clear" w:fill="FFFFFF"/>
          <w:lang w:eastAsia="zh-CN"/>
        </w:rPr>
        <w:t>强化政府信息公共载体建设，将政府信息公开工作落到实处。通过政府门户网站、政务服务大厅、政务公开栏、电子显示屏、微信公众号、微博、视频号等载体，多渠道发布政府信息和重要事项。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val="en-US" w:eastAsia="zh-CN"/>
        </w:rPr>
      </w:pPr>
      <w:r>
        <w:rPr>
          <w:rFonts w:hint="eastAsia" w:ascii="楷体_GB2312" w:hAnsi="楷体_GB2312" w:eastAsia="楷体_GB2312" w:cs="楷体_GB2312"/>
          <w:sz w:val="32"/>
          <w:szCs w:val="32"/>
          <w:lang w:val="en-US" w:eastAsia="zh-CN"/>
        </w:rPr>
        <w:t>（六）教育培训情况。</w:t>
      </w:r>
      <w:r>
        <w:rPr>
          <w:rFonts w:hint="eastAsia" w:ascii="仿宋_GB2312" w:hAnsi="仿宋_GB2312" w:eastAsia="仿宋_GB2312" w:cs="仿宋_GB2312"/>
          <w:i w:val="0"/>
          <w:caps w:val="0"/>
          <w:color w:val="0C0C0C"/>
          <w:spacing w:val="0"/>
          <w:sz w:val="32"/>
          <w:szCs w:val="32"/>
          <w:shd w:val="clear" w:fill="FFFFFF"/>
          <w:lang w:val="en-US" w:eastAsia="zh-CN"/>
        </w:rPr>
        <w:t>为更好地开展政府信息公开工作，积极动员和安排负责政府信息公开工作的人员参加业务培训，明确了职责、程序、公开方式和时限要求等，要求严格执行保密制度及责任追究制度，不断提高相关人员的工作能力和业务水平，同时,积极推进办公软件正版化工作，为正常开展工作提供有力的保障，确保政府信息公开工作稳步推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（七）监督保障情况。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C0C0C"/>
          <w:spacing w:val="0"/>
          <w:sz w:val="32"/>
          <w:szCs w:val="32"/>
          <w:shd w:val="clear" w:fill="FFFFFF"/>
          <w:lang w:eastAsia="zh-CN"/>
        </w:rPr>
      </w:pPr>
      <w:r>
        <w:rPr>
          <w:rFonts w:hint="eastAsia" w:ascii="仿宋_GB2312" w:hAnsi="仿宋_GB2312" w:eastAsia="仿宋_GB2312" w:cs="仿宋_GB2312"/>
          <w:i w:val="0"/>
          <w:caps w:val="0"/>
          <w:color w:val="0C0C0C"/>
          <w:spacing w:val="0"/>
          <w:sz w:val="32"/>
          <w:szCs w:val="32"/>
          <w:shd w:val="clear" w:fill="FFFFFF"/>
          <w:lang w:val="en-US" w:eastAsia="zh-CN"/>
        </w:rPr>
        <w:t>严格按照《中华人民共和国政府信息公开条例》规定，稳步推进政务公开工作。</w:t>
      </w:r>
      <w:r>
        <w:rPr>
          <w:rFonts w:hint="eastAsia" w:ascii="仿宋_GB2312" w:hAnsi="仿宋_GB2312" w:eastAsia="仿宋_GB2312" w:cs="仿宋_GB2312"/>
          <w:i w:val="0"/>
          <w:caps w:val="0"/>
          <w:color w:val="0C0C0C"/>
          <w:spacing w:val="0"/>
          <w:sz w:val="32"/>
          <w:szCs w:val="32"/>
          <w:shd w:val="clear" w:fill="FFFFFF"/>
          <w:lang w:eastAsia="zh-CN"/>
        </w:rPr>
        <w:t>开展自查自纠工作，认真整改。通过线上信息公开网站和线下宣传栏公布监督反馈电话和邮箱，发布意见征求稿，向社会公众征求意见。接受上级督查，对发现的相关问题及时整改，举一反三。</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黑体" w:hAnsi="宋体" w:eastAsia="黑体" w:cs="宋体"/>
          <w:spacing w:val="8"/>
          <w:kern w:val="0"/>
          <w:sz w:val="32"/>
          <w:szCs w:val="32"/>
          <w:lang w:bidi="ar"/>
        </w:rPr>
      </w:pPr>
      <w:r>
        <w:rPr>
          <w:rFonts w:hint="eastAsia" w:ascii="黑体" w:hAnsi="宋体" w:eastAsia="黑体" w:cs="宋体"/>
          <w:spacing w:val="8"/>
          <w:kern w:val="0"/>
          <w:sz w:val="32"/>
          <w:szCs w:val="32"/>
          <w:lang w:val="en-US" w:eastAsia="zh-CN" w:bidi="ar"/>
        </w:rPr>
        <w:t xml:space="preserve"> 二、</w:t>
      </w:r>
      <w:r>
        <w:rPr>
          <w:rFonts w:hint="eastAsia" w:ascii="黑体" w:hAnsi="宋体" w:eastAsia="黑体" w:cs="宋体"/>
          <w:spacing w:val="8"/>
          <w:kern w:val="0"/>
          <w:sz w:val="32"/>
          <w:szCs w:val="32"/>
          <w:lang w:bidi="ar"/>
        </w:rPr>
        <w:t>主动公开政府信息情况</w:t>
      </w:r>
    </w:p>
    <w:p>
      <w:pPr>
        <w:pStyle w:val="2"/>
        <w:keepNext w:val="0"/>
        <w:keepLines w:val="0"/>
        <w:pageBreakBefore w:val="0"/>
        <w:widowControl/>
        <w:kinsoku/>
        <w:wordWrap/>
        <w:overflowPunct/>
        <w:topLinePunct w:val="0"/>
        <w:autoSpaceDE/>
        <w:autoSpaceDN/>
        <w:bidi w:val="0"/>
        <w:adjustRightInd/>
        <w:snapToGrid/>
        <w:ind w:left="0" w:leftChars="0" w:firstLine="0" w:firstLineChars="0"/>
      </w:pPr>
    </w:p>
    <w:tbl>
      <w:tblPr>
        <w:tblStyle w:val="9"/>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60"/>
        <w:gridCol w:w="2355"/>
        <w:gridCol w:w="1740"/>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w:t>
            </w:r>
            <w:r>
              <w:rPr>
                <w:rStyle w:val="11"/>
                <w:lang w:val="en-US" w:eastAsia="zh-CN" w:bidi="ar"/>
              </w:rPr>
              <w:t>制发件数</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本年废止件数</w:t>
            </w:r>
          </w:p>
        </w:tc>
        <w:tc>
          <w:tcPr>
            <w:tcW w:w="1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现行有效件</w:t>
            </w:r>
            <w:r>
              <w:rPr>
                <w:rStyle w:val="1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规章</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行政规范性文件</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7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行政许可</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270" w:type="dxa"/>
            <w:gridSpan w:val="4"/>
            <w:tcBorders>
              <w:top w:val="single" w:color="auto" w:sz="4" w:space="0"/>
              <w:left w:val="single" w:color="auto" w:sz="4" w:space="0"/>
              <w:bottom w:val="single" w:color="auto" w:sz="4" w:space="0"/>
              <w:right w:val="single" w:color="auto" w:sz="4" w:space="0"/>
            </w:tcBorders>
            <w:shd w:val="clear" w:color="auto" w:fill="C6D9F1"/>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信息内容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行政事业性收费</w:t>
            </w:r>
          </w:p>
        </w:tc>
        <w:tc>
          <w:tcPr>
            <w:tcW w:w="591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Calibri" w:hAnsi="Calibri" w:eastAsia="等线" w:cs="Calibri"/>
                <w:i w:val="0"/>
                <w:color w:val="000000"/>
                <w:sz w:val="21"/>
                <w:szCs w:val="21"/>
                <w:u w:val="none"/>
              </w:rPr>
            </w:pPr>
            <w:r>
              <w:rPr>
                <w:rFonts w:hint="default" w:ascii="Calibri" w:hAnsi="Calibri" w:eastAsia="等线" w:cs="Calibri"/>
                <w:i w:val="0"/>
                <w:color w:val="000000"/>
                <w:kern w:val="0"/>
                <w:sz w:val="21"/>
                <w:szCs w:val="21"/>
                <w:u w:val="none"/>
                <w:lang w:val="en-US" w:eastAsia="zh-CN" w:bidi="ar"/>
              </w:rPr>
              <w:t>0</w:t>
            </w:r>
          </w:p>
        </w:tc>
      </w:tr>
    </w:tbl>
    <w:p>
      <w:pPr>
        <w:pStyle w:val="2"/>
        <w:keepNext w:val="0"/>
        <w:keepLines w:val="0"/>
        <w:pageBreakBefore w:val="0"/>
        <w:widowControl/>
        <w:kinsoku/>
        <w:wordWrap/>
        <w:overflowPunct/>
        <w:topLinePunct w:val="0"/>
        <w:autoSpaceDE/>
        <w:autoSpaceDN/>
        <w:bidi w:val="0"/>
        <w:adjustRightInd/>
        <w:snapToGrid/>
        <w:ind w:left="0" w:leftChars="0" w:firstLine="0" w:firstLineChars="0"/>
      </w:pPr>
    </w:p>
    <w:p>
      <w:pPr>
        <w:keepNext w:val="0"/>
        <w:keepLines w:val="0"/>
        <w:pageBreakBefore w:val="0"/>
        <w:widowControl/>
        <w:kinsoku/>
        <w:wordWrap/>
        <w:overflowPunct/>
        <w:topLinePunct w:val="0"/>
        <w:autoSpaceDE/>
        <w:autoSpaceDN/>
        <w:bidi w:val="0"/>
        <w:spacing w:line="560" w:lineRule="exact"/>
        <w:ind w:left="0" w:leftChars="0" w:firstLine="672" w:firstLineChars="200"/>
        <w:jc w:val="left"/>
        <w:textAlignment w:val="auto"/>
        <w:rPr>
          <w:rFonts w:hint="eastAsia" w:ascii="黑体" w:hAnsi="宋体" w:eastAsia="黑体" w:cs="宋体"/>
          <w:spacing w:val="8"/>
          <w:kern w:val="0"/>
          <w:sz w:val="32"/>
          <w:szCs w:val="32"/>
          <w:lang w:val="en-US" w:eastAsia="zh-CN" w:bidi="ar"/>
        </w:rPr>
      </w:pPr>
      <w:r>
        <w:rPr>
          <w:rFonts w:hint="eastAsia" w:ascii="黑体" w:hAnsi="宋体" w:eastAsia="黑体" w:cs="宋体"/>
          <w:spacing w:val="8"/>
          <w:kern w:val="0"/>
          <w:sz w:val="32"/>
          <w:szCs w:val="32"/>
          <w:lang w:val="en-US" w:eastAsia="zh-CN" w:bidi="ar"/>
        </w:rPr>
        <w:t>三、收到和处理政府信息公开申请情况</w:t>
      </w:r>
    </w:p>
    <w:p>
      <w:pPr>
        <w:keepNext w:val="0"/>
        <w:keepLines w:val="0"/>
        <w:pageBreakBefore w:val="0"/>
        <w:kinsoku/>
        <w:wordWrap/>
        <w:overflowPunct/>
        <w:topLinePunct w:val="0"/>
        <w:autoSpaceDE/>
        <w:autoSpaceDN/>
        <w:bidi w:val="0"/>
        <w:adjustRightInd/>
        <w:snapToGrid/>
        <w:ind w:left="0" w:leftChars="0" w:firstLine="0" w:firstLineChars="0"/>
        <w:rPr>
          <w:rFonts w:hint="eastAsia" w:ascii="黑体" w:hAnsi="宋体" w:eastAsia="黑体" w:cs="黑体"/>
          <w:sz w:val="24"/>
        </w:rPr>
      </w:pPr>
    </w:p>
    <w:tbl>
      <w:tblPr>
        <w:tblStyle w:val="9"/>
        <w:tblW w:w="9139" w:type="dxa"/>
        <w:jc w:val="center"/>
        <w:tblInd w:w="60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70"/>
        <w:gridCol w:w="825"/>
        <w:gridCol w:w="2828"/>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323" w:type="dxa"/>
            <w:gridSpan w:val="3"/>
            <w:vMerge w:val="restart"/>
            <w:tcBorders>
              <w:top w:val="single" w:color="auto" w:sz="4" w:space="0"/>
              <w:left w:val="single" w:color="auto" w:sz="4" w:space="0"/>
              <w:bottom w:val="single" w:color="auto" w:sz="4" w:space="0"/>
              <w:right w:val="single" w:color="auto" w:sz="4" w:space="0"/>
            </w:tcBorders>
            <w:shd w:val="clear" w:color="auto" w:fill="9BC2E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323" w:type="dxa"/>
            <w:gridSpan w:val="3"/>
            <w:vMerge w:val="continue"/>
            <w:tcBorders>
              <w:top w:val="single" w:color="auto" w:sz="4" w:space="0"/>
              <w:left w:val="single" w:color="auto" w:sz="4" w:space="0"/>
              <w:bottom w:val="single" w:color="auto" w:sz="4" w:space="0"/>
              <w:right w:val="single" w:color="auto" w:sz="4"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88" w:type="dxa"/>
            <w:vMerge w:val="restart"/>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法人或其他组织</w:t>
            </w:r>
          </w:p>
        </w:tc>
        <w:tc>
          <w:tcPr>
            <w:tcW w:w="688" w:type="dxa"/>
            <w:vMerge w:val="restart"/>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323" w:type="dxa"/>
            <w:gridSpan w:val="3"/>
            <w:vMerge w:val="continue"/>
            <w:tcBorders>
              <w:top w:val="single" w:color="auto" w:sz="4" w:space="0"/>
              <w:left w:val="single" w:color="auto" w:sz="4" w:space="0"/>
              <w:bottom w:val="single" w:color="auto" w:sz="4" w:space="0"/>
              <w:right w:val="single" w:color="auto" w:sz="4"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88" w:type="dxa"/>
            <w:vMerge w:val="continue"/>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商业</w:t>
            </w:r>
          </w:p>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科研</w:t>
            </w:r>
          </w:p>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其他</w:t>
            </w:r>
          </w:p>
        </w:tc>
        <w:tc>
          <w:tcPr>
            <w:tcW w:w="688" w:type="dxa"/>
            <w:vMerge w:val="continue"/>
            <w:tcBorders>
              <w:top w:val="single" w:color="auto" w:sz="4" w:space="0"/>
              <w:left w:val="single" w:color="auto" w:sz="4" w:space="0"/>
              <w:bottom w:val="single" w:color="auto" w:sz="4" w:space="0"/>
              <w:right w:val="single" w:color="auto" w:sz="4"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4323" w:type="dxa"/>
            <w:gridSpan w:val="3"/>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17</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323" w:type="dxa"/>
            <w:gridSpan w:val="3"/>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restart"/>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三、本年度办理结果</w:t>
            </w:r>
          </w:p>
        </w:tc>
        <w:tc>
          <w:tcPr>
            <w:tcW w:w="3653" w:type="dxa"/>
            <w:gridSpan w:val="2"/>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4</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3653" w:type="dxa"/>
            <w:gridSpan w:val="2"/>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6</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（三）不予公开</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（四）无法提供</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7</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（五）不予处理</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（六）其他处理</w:t>
            </w: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2828" w:type="dxa"/>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670" w:type="dxa"/>
            <w:vMerge w:val="continue"/>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3653" w:type="dxa"/>
            <w:gridSpan w:val="2"/>
            <w:tcBorders>
              <w:top w:val="single" w:color="auto" w:sz="4" w:space="0"/>
              <w:left w:val="single" w:color="auto" w:sz="4" w:space="0"/>
              <w:bottom w:val="single" w:color="auto" w:sz="4" w:space="0"/>
              <w:right w:val="single" w:color="auto" w:sz="4"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pPr>
            <w:r>
              <w:rPr>
                <w:rFonts w:hint="default" w:ascii="Calibri" w:hAnsi="Calibri" w:eastAsia="宋体" w:cs="Calibri"/>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jc w:val="center"/>
        </w:trPr>
        <w:tc>
          <w:tcPr>
            <w:tcW w:w="4323" w:type="dxa"/>
            <w:gridSpan w:val="3"/>
            <w:tcBorders>
              <w:top w:val="single" w:color="auto" w:sz="4" w:space="0"/>
              <w:left w:val="single" w:color="auto" w:sz="4" w:space="0"/>
              <w:bottom w:val="single" w:color="auto" w:sz="4" w:space="0"/>
              <w:right w:val="single" w:color="auto" w:sz="4"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left"/>
            </w:pPr>
            <w:r>
              <w:rPr>
                <w:rFonts w:hint="eastAsia" w:ascii="宋体" w:hAnsi="宋体" w:cs="宋体"/>
                <w:kern w:val="0"/>
                <w:sz w:val="20"/>
                <w:szCs w:val="20"/>
                <w:lang w:bidi="ar"/>
              </w:rPr>
              <w:t>四、结转下年度继续办理</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17</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Times New Roman" w:cs="宋体"/>
                <w:sz w:val="24"/>
              </w:rPr>
            </w:pPr>
            <w:r>
              <w:rPr>
                <w:rFonts w:hint="default" w:ascii="Calibri" w:hAnsi="Calibri" w:eastAsia="宋体" w:cs="Calibri"/>
                <w:i w:val="0"/>
                <w:color w:val="000000"/>
                <w:kern w:val="0"/>
                <w:sz w:val="20"/>
                <w:szCs w:val="20"/>
                <w:u w:val="none"/>
                <w:lang w:val="en-US" w:eastAsia="zh-CN" w:bidi="ar"/>
              </w:rPr>
              <w:t>20</w:t>
            </w:r>
          </w:p>
        </w:tc>
      </w:tr>
    </w:tbl>
    <w:p>
      <w:pPr>
        <w:pStyle w:val="2"/>
        <w:keepNext w:val="0"/>
        <w:keepLines w:val="0"/>
        <w:pageBreakBefore w:val="0"/>
        <w:widowControl/>
        <w:kinsoku/>
        <w:wordWrap/>
        <w:overflowPunct/>
        <w:topLinePunct w:val="0"/>
        <w:autoSpaceDE/>
        <w:autoSpaceDN/>
        <w:bidi w:val="0"/>
        <w:adjustRightInd/>
        <w:snapToGrid/>
        <w:ind w:left="0" w:leftChars="0" w:firstLine="0" w:firstLineChars="0"/>
      </w:pPr>
    </w:p>
    <w:p>
      <w:pPr>
        <w:pStyle w:val="2"/>
        <w:keepNext w:val="0"/>
        <w:keepLines w:val="0"/>
        <w:pageBreakBefore w:val="0"/>
        <w:widowControl/>
        <w:kinsoku/>
        <w:wordWrap/>
        <w:overflowPunct/>
        <w:topLinePunct w:val="0"/>
        <w:autoSpaceDE/>
        <w:autoSpaceDN/>
        <w:bidi w:val="0"/>
        <w:adjustRightInd/>
        <w:snapToGrid/>
        <w:ind w:left="0" w:leftChars="0" w:firstLine="0" w:firstLineChars="0"/>
      </w:pPr>
    </w:p>
    <w:p>
      <w:pPr>
        <w:keepNext w:val="0"/>
        <w:keepLines w:val="0"/>
        <w:pageBreakBefore w:val="0"/>
        <w:widowControl/>
        <w:kinsoku/>
        <w:wordWrap/>
        <w:overflowPunct/>
        <w:topLinePunct w:val="0"/>
        <w:autoSpaceDE/>
        <w:autoSpaceDN/>
        <w:bidi w:val="0"/>
        <w:spacing w:line="560" w:lineRule="exact"/>
        <w:ind w:left="0" w:leftChars="0" w:firstLine="672" w:firstLineChars="200"/>
        <w:jc w:val="left"/>
        <w:textAlignment w:val="auto"/>
        <w:rPr>
          <w:rFonts w:hint="eastAsia" w:ascii="黑体" w:hAnsi="宋体" w:eastAsia="黑体" w:cs="宋体"/>
          <w:spacing w:val="8"/>
          <w:kern w:val="0"/>
          <w:sz w:val="32"/>
          <w:szCs w:val="32"/>
          <w:lang w:val="en-US" w:eastAsia="zh-CN" w:bidi="ar"/>
        </w:rPr>
      </w:pPr>
      <w:r>
        <w:rPr>
          <w:rFonts w:hint="eastAsia" w:ascii="黑体" w:hAnsi="宋体" w:eastAsia="黑体" w:cs="宋体"/>
          <w:spacing w:val="8"/>
          <w:kern w:val="0"/>
          <w:sz w:val="32"/>
          <w:szCs w:val="32"/>
          <w:lang w:val="en-US" w:eastAsia="zh-CN" w:bidi="ar"/>
        </w:rPr>
        <w:t>四、政府信息公开行政复议、行政诉讼情况</w:t>
      </w:r>
    </w:p>
    <w:p>
      <w:pPr>
        <w:keepNext w:val="0"/>
        <w:keepLines w:val="0"/>
        <w:pageBreakBefore w:val="0"/>
        <w:widowControl/>
        <w:kinsoku/>
        <w:wordWrap/>
        <w:overflowPunct/>
        <w:topLinePunct w:val="0"/>
        <w:autoSpaceDE/>
        <w:autoSpaceDN/>
        <w:bidi w:val="0"/>
        <w:adjustRightInd/>
        <w:snapToGrid/>
        <w:ind w:left="0" w:leftChars="0" w:firstLine="0" w:firstLineChars="0"/>
        <w:jc w:val="center"/>
      </w:pPr>
    </w:p>
    <w:tbl>
      <w:tblPr>
        <w:tblStyle w:val="9"/>
        <w:tblW w:w="9543" w:type="dxa"/>
        <w:jc w:val="center"/>
        <w:tblInd w:w="20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45"/>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045" w:type="dxa"/>
            <w:gridSpan w:val="5"/>
            <w:tcBorders>
              <w:top w:val="single" w:color="auto" w:sz="4" w:space="0"/>
              <w:left w:val="single" w:color="auto" w:sz="4" w:space="0"/>
              <w:bottom w:val="single" w:color="auto" w:sz="4" w:space="0"/>
              <w:right w:val="single" w:color="auto" w:sz="4"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行政复议</w:t>
            </w:r>
          </w:p>
        </w:tc>
        <w:tc>
          <w:tcPr>
            <w:tcW w:w="6498" w:type="dxa"/>
            <w:gridSpan w:val="10"/>
            <w:tcBorders>
              <w:top w:val="single" w:color="auto" w:sz="4" w:space="0"/>
              <w:left w:val="single" w:color="auto" w:sz="4" w:space="0"/>
              <w:bottom w:val="single" w:color="auto" w:sz="4" w:space="0"/>
              <w:right w:val="single" w:color="auto" w:sz="4"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445"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结果维持</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445"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50"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rPr>
                <w:rFonts w:ascii="Times New Roman" w:hAnsi="Times New Roman"/>
                <w:sz w:val="20"/>
                <w:szCs w:val="20"/>
              </w:rPr>
            </w:pP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color w:val="000000"/>
                <w:kern w:val="0"/>
                <w:sz w:val="20"/>
                <w:szCs w:val="20"/>
                <w:lang w:bidi="ar"/>
              </w:rPr>
              <w:t>总计</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4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4</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4</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ind w:left="0" w:leftChars="0" w:firstLine="0" w:firstLineChars="0"/>
              <w:jc w:val="center"/>
              <w:rPr>
                <w:rFonts w:hint="eastAsia" w:ascii="宋体" w:hAnsi="Times New Roman" w:eastAsia="宋体" w:cs="宋体"/>
                <w:sz w:val="24"/>
                <w:lang w:val="en-US" w:eastAsia="zh-CN"/>
              </w:rPr>
            </w:pPr>
            <w:r>
              <w:rPr>
                <w:rFonts w:hint="eastAsia" w:ascii="宋体" w:cs="宋体"/>
                <w:sz w:val="24"/>
                <w:lang w:val="en-US" w:eastAsia="zh-CN"/>
              </w:rPr>
              <w:t>1</w:t>
            </w:r>
          </w:p>
        </w:tc>
      </w:tr>
    </w:tbl>
    <w:p>
      <w:pPr>
        <w:keepNext w:val="0"/>
        <w:keepLines w:val="0"/>
        <w:pageBreakBefore w:val="0"/>
        <w:widowControl/>
        <w:kinsoku/>
        <w:wordWrap/>
        <w:overflowPunct/>
        <w:topLinePunct w:val="0"/>
        <w:autoSpaceDE/>
        <w:autoSpaceDN/>
        <w:bidi w:val="0"/>
        <w:adjustRightInd/>
        <w:snapToGrid/>
        <w:ind w:left="0" w:leftChars="0" w:firstLine="0" w:firstLineChars="0"/>
        <w:jc w:val="left"/>
      </w:pP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黑体" w:hAnsi="宋体" w:eastAsia="黑体" w:cs="宋体"/>
          <w:spacing w:val="8"/>
          <w:kern w:val="0"/>
          <w:sz w:val="32"/>
          <w:szCs w:val="32"/>
          <w:lang w:val="en-US" w:eastAsia="zh-CN" w:bidi="ar"/>
        </w:rPr>
      </w:pPr>
      <w:r>
        <w:rPr>
          <w:rFonts w:hint="eastAsia" w:ascii="黑体" w:hAnsi="宋体" w:eastAsia="黑体" w:cs="宋体"/>
          <w:spacing w:val="8"/>
          <w:kern w:val="0"/>
          <w:sz w:val="32"/>
          <w:szCs w:val="32"/>
          <w:lang w:val="en-US" w:eastAsia="zh-CN" w:bidi="ar"/>
        </w:rPr>
        <w:t>存在的主要问题及改进情况</w:t>
      </w:r>
    </w:p>
    <w:p>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trike w:val="0"/>
          <w:dstrike w:val="0"/>
          <w:kern w:val="2"/>
          <w:sz w:val="32"/>
          <w:szCs w:val="32"/>
          <w:lang w:val="en-US" w:eastAsia="zh-CN"/>
        </w:rPr>
        <w:t>（一）存在的主要问题。</w:t>
      </w:r>
      <w:r>
        <w:rPr>
          <w:rFonts w:hint="eastAsia" w:ascii="仿宋_GB2312" w:hAnsi="仿宋_GB2312" w:eastAsia="仿宋_GB2312" w:cs="仿宋_GB2312"/>
          <w:kern w:val="2"/>
          <w:sz w:val="32"/>
          <w:szCs w:val="32"/>
          <w:lang w:val="en-US" w:eastAsia="zh-CN" w:bidi="ar-SA"/>
        </w:rPr>
        <w:t>一是政府信息公开工作具体办事人员专业知识和专业能力有较高提升空间。二是主动公开内容仍需进一步丰富。</w:t>
      </w:r>
    </w:p>
    <w:p>
      <w:pPr>
        <w:pStyle w:val="2"/>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trike w:val="0"/>
          <w:dstrike w:val="0"/>
          <w:kern w:val="2"/>
          <w:sz w:val="32"/>
          <w:szCs w:val="32"/>
          <w:lang w:val="en-US" w:eastAsia="zh-CN"/>
        </w:rPr>
        <w:t>（二）改进情况。</w:t>
      </w:r>
      <w:r>
        <w:rPr>
          <w:rFonts w:hint="eastAsia" w:ascii="仿宋_GB2312" w:hAnsi="仿宋_GB2312" w:eastAsia="仿宋_GB2312" w:cs="仿宋_GB2312"/>
          <w:kern w:val="2"/>
          <w:sz w:val="32"/>
          <w:szCs w:val="32"/>
          <w:lang w:val="en-US" w:eastAsia="zh-CN" w:bidi="ar-SA"/>
        </w:rPr>
        <w:t>针对上述问题，一方面，我镇加强信息公开人员业务能力培训，加强对《政府信息公开条例》等法规、文件的学习，提升业务水平，使掌握相关的法律法规和办事流程，有效满足群众依申请公开信息诉求，及时回应群众关切。二是创新公开内容，优化网站功能，充分利用微信公众号、微博等政务新媒体，发布更多通俗易懂、形式多样的政策解读信息。加强选题策划，不断丰富主动公开内容。</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rPr>
          <w:rFonts w:hint="eastAsia" w:ascii="黑体" w:hAnsi="黑体" w:eastAsia="黑体" w:cs="宋体"/>
          <w:spacing w:val="8"/>
          <w:kern w:val="0"/>
          <w:sz w:val="32"/>
          <w:szCs w:val="32"/>
          <w:lang w:val="en-US" w:eastAsia="zh-CN"/>
        </w:rPr>
      </w:pPr>
      <w:r>
        <w:rPr>
          <w:rFonts w:hint="eastAsia" w:ascii="黑体" w:hAnsi="黑体" w:eastAsia="黑体" w:cs="宋体"/>
          <w:spacing w:val="8"/>
          <w:kern w:val="0"/>
          <w:sz w:val="32"/>
          <w:szCs w:val="32"/>
          <w:lang w:val="en-US" w:eastAsia="zh-CN"/>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i w:val="0"/>
          <w:caps w:val="0"/>
          <w:color w:val="0C0C0C"/>
          <w:spacing w:val="0"/>
          <w:kern w:val="2"/>
          <w:sz w:val="32"/>
          <w:szCs w:val="32"/>
          <w:shd w:val="clear" w:fill="FFFFFF"/>
          <w:lang w:val="en-US" w:eastAsia="zh-CN" w:bidi="ar-SA"/>
        </w:rPr>
      </w:pPr>
      <w:r>
        <w:rPr>
          <w:rFonts w:hint="eastAsia" w:ascii="仿宋_GB2312" w:hAnsi="仿宋_GB2312" w:eastAsia="仿宋_GB2312" w:cs="仿宋_GB2312"/>
          <w:i w:val="0"/>
          <w:caps w:val="0"/>
          <w:color w:val="0C0C0C"/>
          <w:spacing w:val="0"/>
          <w:kern w:val="2"/>
          <w:sz w:val="32"/>
          <w:szCs w:val="32"/>
          <w:shd w:val="clear" w:fill="FFFFFF"/>
          <w:lang w:val="en-US" w:eastAsia="zh-CN" w:bidi="ar-SA"/>
        </w:rPr>
        <w:t>我单位本年度发出收费通知的件数和总金额以及实际收取的总金额均为0。</w:t>
      </w:r>
    </w:p>
    <w:sectPr>
      <w:pgSz w:w="11906" w:h="16838"/>
      <w:pgMar w:top="2098" w:right="1474" w:bottom="1984" w:left="158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D55AE"/>
    <w:multiLevelType w:val="singleLevel"/>
    <w:tmpl w:val="441D55A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3701D"/>
    <w:rsid w:val="046F6F45"/>
    <w:rsid w:val="06634868"/>
    <w:rsid w:val="07BC0434"/>
    <w:rsid w:val="0A5D47CA"/>
    <w:rsid w:val="110A78A1"/>
    <w:rsid w:val="11BF0782"/>
    <w:rsid w:val="14647F31"/>
    <w:rsid w:val="153B439E"/>
    <w:rsid w:val="179A12BC"/>
    <w:rsid w:val="19713851"/>
    <w:rsid w:val="1D0651DE"/>
    <w:rsid w:val="2FC76EAD"/>
    <w:rsid w:val="3DB571CB"/>
    <w:rsid w:val="3F4D7F01"/>
    <w:rsid w:val="423643AD"/>
    <w:rsid w:val="43651680"/>
    <w:rsid w:val="439938CE"/>
    <w:rsid w:val="45C12ACB"/>
    <w:rsid w:val="4E065E70"/>
    <w:rsid w:val="51DF5088"/>
    <w:rsid w:val="55EF2845"/>
    <w:rsid w:val="59161D7E"/>
    <w:rsid w:val="65756CFB"/>
    <w:rsid w:val="6A13701D"/>
    <w:rsid w:val="6C3E08E3"/>
    <w:rsid w:val="71FA0AEB"/>
    <w:rsid w:val="736F106B"/>
    <w:rsid w:val="77BE669B"/>
    <w:rsid w:val="7B28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Calibri"/>
      <w:kern w:val="44"/>
      <w:sz w:val="44"/>
      <w:szCs w:val="21"/>
    </w:rPr>
  </w:style>
  <w:style w:type="paragraph" w:styleId="4">
    <w:name w:val="heading 2"/>
    <w:basedOn w:val="1"/>
    <w:next w:val="1"/>
    <w:unhideWhenUsed/>
    <w:qFormat/>
    <w:uiPriority w:val="0"/>
    <w:pPr>
      <w:keepNext/>
      <w:keepLines/>
      <w:spacing w:beforeLines="0" w:beforeAutospacing="0" w:afterLines="0" w:afterAutospacing="0" w:line="560" w:lineRule="exact"/>
      <w:ind w:firstLine="0" w:firstLineChars="0"/>
      <w:jc w:val="center"/>
      <w:outlineLvl w:val="1"/>
    </w:pPr>
    <w:rPr>
      <w:rFonts w:ascii="Arial" w:hAnsi="Arial" w:eastAsia="楷体_GB2312" w:cs="Calibri"/>
      <w:sz w:val="32"/>
      <w:szCs w:val="21"/>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Body Text"/>
    <w:basedOn w:val="1"/>
    <w:qFormat/>
    <w:uiPriority w:val="0"/>
    <w:pPr>
      <w:spacing w:after="120" w:afterLines="0" w:afterAutospacing="0"/>
    </w:p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1">
    <w:name w:val="font1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2024-01-08T08:30:00Z</dcterms:created>
  <dc:creator>Administrator</dc:creator>
  <cp:lastModifiedBy>shen</cp:lastModifiedBy>
  <cp:lastPrinted>2024-01-15T05:59:00Z</cp:lastPrinted>
  <dcterms:modified xsi:type="dcterms:W3CDTF">2024-01-23T09:09:40Z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