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北京市大兴区人力资源和社会保障局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2024年,北京市大兴区人力资源和社会保障局紧紧围绕区委区政府中心工作，深入贯彻《政府信息公开条例》，进一步加强组织领导，明确责任分工，细化分解任务，加大监督力度，全面推进组织建设、平台建设、制度建设。信息公开工作的积极性、主动性不断提高，信息公开的广度和深度不断增强，进一步提高了工作透明度，有效地保障了公民知情权，促进了政府公信力的提升。</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（一）组织领导</w:t>
      </w:r>
    </w:p>
    <w:p>
      <w:pPr>
        <w:pStyle w:val="6"/>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我局高度重视政府信息公开工作</w:t>
      </w:r>
      <w:r>
        <w:rPr>
          <w:rFonts w:hint="eastAsia" w:ascii="仿宋_GB2312" w:hAnsi="宋体" w:cs="宋体"/>
          <w:spacing w:val="8"/>
          <w:kern w:val="0"/>
          <w:sz w:val="32"/>
          <w:szCs w:val="32"/>
          <w:lang w:val="en-US" w:eastAsia="zh-CN" w:bidi="ar"/>
        </w:rPr>
        <w:t>，</w:t>
      </w:r>
      <w:r>
        <w:rPr>
          <w:rFonts w:hint="eastAsia" w:ascii="仿宋_GB2312" w:hAnsi="宋体" w:eastAsia="仿宋_GB2312" w:cs="宋体"/>
          <w:spacing w:val="8"/>
          <w:kern w:val="0"/>
          <w:sz w:val="32"/>
          <w:szCs w:val="32"/>
          <w:lang w:val="en-US" w:eastAsia="zh-CN" w:bidi="ar"/>
        </w:rPr>
        <w:t>着力强化组织管理，深度明确责任划分，形成了主要领导带头抓、分管领导具体抓，上下联动、整体推进、专人负责的工作机制。</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（二）主动公开</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我局重点围绕《大兴区2024年政务公开工作要点》、《大兴区人力资源和社会保障局政府信息主动公开全清单》开展信息公开工作，结合人力社保工作“一头一尾”的特点，在常态化公开机构职权、预决算、重点民生和实事、执法结果等信息的基础上，持续推进就业创业、社会保险、六稳六保等重点领域公开。</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三）依申请公开</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我局严格落实《政府信息公开条例》，实时修订政府信息公开指南，确保受理渠道畅通。2024年，我局共受理公开申请11件，2023年结转申请1件，截至年底，12件申请均已办结。收到政府信息公开行政复议1件，结果维持1件。</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（四）政府信息管理</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default" w:ascii="仿宋_GB2312" w:hAnsi="宋体" w:eastAsia="仿宋_GB2312" w:cs="宋体"/>
          <w:spacing w:val="8"/>
          <w:kern w:val="0"/>
          <w:sz w:val="32"/>
          <w:szCs w:val="32"/>
          <w:lang w:val="en-US" w:eastAsia="zh-CN" w:bidi="ar"/>
        </w:rPr>
      </w:pPr>
      <w:bookmarkStart w:id="0" w:name="OLE_LINK1"/>
      <w:r>
        <w:rPr>
          <w:rFonts w:hint="eastAsia" w:ascii="仿宋_GB2312" w:hAnsi="宋体" w:eastAsia="仿宋_GB2312" w:cs="宋体"/>
          <w:spacing w:val="8"/>
          <w:kern w:val="0"/>
          <w:sz w:val="32"/>
          <w:szCs w:val="32"/>
          <w:lang w:val="en-US" w:eastAsia="zh-CN" w:bidi="ar"/>
        </w:rPr>
        <w:t>为进一步夯实政府信息公开管理基础，提升管理效能，我局于本年度修订局《政府信息公开实施办法》，着力于优化组织领导体系，精细划定公开范围，全面梳理主动公开、依申请公开的工作流程，强化保密审查力度，持续强化监督保障机制，</w:t>
      </w:r>
      <w:bookmarkEnd w:id="0"/>
      <w:r>
        <w:rPr>
          <w:rFonts w:hint="eastAsia" w:ascii="仿宋_GB2312" w:hAnsi="宋体" w:eastAsia="仿宋_GB2312" w:cs="宋体"/>
          <w:spacing w:val="8"/>
          <w:kern w:val="0"/>
          <w:sz w:val="32"/>
          <w:szCs w:val="32"/>
          <w:lang w:val="en-US" w:eastAsia="zh-CN" w:bidi="ar"/>
        </w:rPr>
        <w:t>推动信息公开管理工作落地见效。</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（五）政府信息公开平台建设</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xml:space="preserve">我局强化政府信息公开平台建设，依托区政府门户网站、政务服务大厅、电子显示屏、微信公众号等载体，多渠道发布政府信息和重要事项。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（六）教育培训</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我局扎实推进政府信息公开培训工作，成效显著。一方面，开展点对点专项培训，聚焦各部门信息公开专员，依据岗位特性与业务难点，定制专属培训方案，精准提升业务实操能力，确保信息发布及时、准确、合规。另一方面，将保密工作与公开工作深度融合，组织专题学习研讨，深入剖析典型案例，让工作人员明晰保密红线与公开边界，在保障公民知情权的同时，严守国家秘密、工作秘密，筑牢信息安全屏障，为政府信息公开工作保驾护航。</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（七）监督保障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72" w:firstLineChars="200"/>
        <w:jc w:val="both"/>
        <w:textAlignment w:val="auto"/>
        <w:outlineLvl w:val="9"/>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将</w:t>
      </w:r>
      <w:r>
        <w:rPr>
          <w:rFonts w:hint="eastAsia" w:ascii="仿宋_GB2312" w:hAnsi="仿宋" w:eastAsia="仿宋_GB2312"/>
          <w:sz w:val="32"/>
        </w:rPr>
        <w:t>信息公开工作纳入</w:t>
      </w:r>
      <w:r>
        <w:rPr>
          <w:rFonts w:hint="eastAsia" w:ascii="仿宋_GB2312" w:hAnsi="仿宋" w:eastAsia="仿宋_GB2312"/>
          <w:sz w:val="32"/>
          <w:lang w:eastAsia="zh-CN"/>
        </w:rPr>
        <w:t>局机关各科室、所属各单位的</w:t>
      </w:r>
      <w:r>
        <w:rPr>
          <w:rFonts w:hint="eastAsia" w:ascii="仿宋_GB2312" w:hAnsi="仿宋" w:eastAsia="仿宋_GB2312"/>
          <w:sz w:val="32"/>
        </w:rPr>
        <w:t>年度考核</w:t>
      </w:r>
      <w:r>
        <w:rPr>
          <w:rFonts w:hint="eastAsia" w:ascii="仿宋_GB2312" w:hAnsi="仿宋" w:eastAsia="仿宋_GB2312"/>
          <w:sz w:val="32"/>
          <w:lang w:eastAsia="zh-CN"/>
        </w:rPr>
        <w:t>范围</w:t>
      </w:r>
      <w:r>
        <w:rPr>
          <w:rFonts w:hint="eastAsia" w:ascii="仿宋_GB2312" w:hAnsi="仿宋" w:eastAsia="仿宋_GB2312"/>
          <w:sz w:val="32"/>
        </w:rPr>
        <w:t>，信息公开实施情况</w:t>
      </w:r>
      <w:r>
        <w:rPr>
          <w:rFonts w:hint="eastAsia" w:ascii="仿宋_GB2312" w:hAnsi="仿宋" w:eastAsia="仿宋_GB2312"/>
          <w:sz w:val="32"/>
          <w:lang w:eastAsia="zh-CN"/>
        </w:rPr>
        <w:t>将</w:t>
      </w:r>
      <w:r>
        <w:rPr>
          <w:rFonts w:hint="eastAsia" w:ascii="仿宋_GB2312" w:hAnsi="仿宋" w:eastAsia="仿宋_GB2312"/>
          <w:sz w:val="32"/>
        </w:rPr>
        <w:t>作为评价</w:t>
      </w:r>
      <w:r>
        <w:rPr>
          <w:rFonts w:hint="eastAsia" w:ascii="仿宋_GB2312" w:hAnsi="仿宋" w:eastAsia="仿宋_GB2312"/>
          <w:sz w:val="32"/>
          <w:lang w:eastAsia="zh-CN"/>
        </w:rPr>
        <w:t>局机关各科室、所属各单位</w:t>
      </w:r>
      <w:r>
        <w:rPr>
          <w:rFonts w:hint="eastAsia" w:ascii="仿宋_GB2312" w:hAnsi="仿宋" w:eastAsia="仿宋_GB2312"/>
          <w:sz w:val="32"/>
        </w:rPr>
        <w:t>工作人员及主要负责人年度工作情况的重要指标。</w:t>
      </w:r>
      <w:r>
        <w:rPr>
          <w:rFonts w:hint="eastAsia" w:ascii="仿宋_GB2312" w:hAnsi="仿宋" w:eastAsia="仿宋_GB2312"/>
          <w:sz w:val="32"/>
          <w:lang w:val="en-US" w:eastAsia="zh-CN"/>
        </w:rPr>
        <w:t>确保</w:t>
      </w:r>
      <w:r>
        <w:rPr>
          <w:rFonts w:hint="eastAsia" w:ascii="仿宋_GB2312" w:hAnsi="宋体" w:eastAsia="仿宋_GB2312" w:cs="宋体"/>
          <w:spacing w:val="8"/>
          <w:kern w:val="0"/>
          <w:sz w:val="32"/>
          <w:szCs w:val="32"/>
          <w:lang w:val="en-US" w:eastAsia="zh-CN" w:bidi="ar"/>
        </w:rPr>
        <w:t>信息公开监督保障有力有效。</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pPr>
      <w:r>
        <w:rPr>
          <w:rFonts w:hint="eastAsia" w:ascii="黑体" w:hAnsi="宋体" w:eastAsia="黑体" w:cs="黑体"/>
          <w:sz w:val="32"/>
          <w:szCs w:val="32"/>
          <w:lang w:val="en-US" w:eastAsia="zh-CN" w:bidi="ar"/>
        </w:rPr>
        <w:t>二、</w:t>
      </w:r>
      <w:r>
        <w:rPr>
          <w:rFonts w:hint="eastAsia" w:ascii="黑体" w:hAnsi="宋体" w:eastAsia="黑体" w:cs="黑体"/>
          <w:sz w:val="32"/>
          <w:szCs w:val="32"/>
          <w:lang w:bidi="ar"/>
        </w:rPr>
        <w:t>主动公开政府信息情况</w:t>
      </w:r>
    </w:p>
    <w:tbl>
      <w:tblPr>
        <w:tblStyle w:val="7"/>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5</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Cs w:val="21"/>
                <w:lang w:val="en-US" w:eastAsia="zh-CN" w:bidi="ar"/>
              </w:rPr>
              <w:t>321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ascii="宋体" w:hAnsi="宋体" w:cs="宋体"/>
                <w:color w:val="000000"/>
                <w:kern w:val="0"/>
                <w:sz w:val="20"/>
                <w:szCs w:val="20"/>
                <w:lang w:val="en-US" w:eastAsia="zh-CN" w:bidi="ar"/>
              </w:rPr>
              <w:t>43</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2"/>
        <w:keepNext w:val="0"/>
        <w:keepLines w:val="0"/>
        <w:pageBreakBefore w:val="0"/>
        <w:widowControl/>
        <w:kinsoku/>
        <w:wordWrap/>
        <w:overflowPunct/>
        <w:topLinePunct w:val="0"/>
        <w:autoSpaceDE/>
        <w:autoSpaceDN/>
        <w:bidi w:val="0"/>
        <w:adjustRightInd/>
        <w:snapToGrid/>
        <w:spacing w:line="560" w:lineRule="exact"/>
        <w:textAlignment w:val="auto"/>
      </w:pP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tbl>
      <w:tblPr>
        <w:tblStyle w:val="7"/>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rPr>
                <w:rFonts w:hint="default" w:eastAsia="宋体"/>
                <w:lang w:val="en-US" w:eastAsia="zh-CN"/>
              </w:rPr>
            </w:pPr>
            <w:r>
              <w:rPr>
                <w:rFonts w:hint="eastAsia" w:ascii="Calibri" w:hAnsi="Calibri" w:eastAsia="宋体"/>
                <w:color w:val="000000"/>
                <w:sz w:val="20"/>
                <w:lang w:val="en-US" w:eastAsia="zh-CN"/>
              </w:rPr>
              <w:t>11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beforeLines="0" w:afterLines="0"/>
              <w:jc w:val="center"/>
            </w:pPr>
            <w:r>
              <w:rPr>
                <w:rFonts w:hint="default" w:ascii="Calibri" w:hAnsi="Calibri" w:eastAsia="Calibri"/>
                <w:color w:val="000000"/>
                <w:sz w:val="20"/>
              </w:rPr>
              <w:t>12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spacing w:beforeLines="0" w:afterLines="0"/>
              <w:jc w:val="center"/>
              <w:rPr>
                <w:rFonts w:hint="eastAsia" w:ascii="宋体" w:hAnsi="Times New Roman" w:eastAsia="宋体" w:cs="宋体"/>
                <w:sz w:val="24"/>
                <w:lang w:eastAsia="zh-CN"/>
              </w:rPr>
            </w:pPr>
            <w:r>
              <w:rPr>
                <w:rFonts w:hint="eastAsia" w:ascii="Calibri" w:hAnsi="Calibri" w:eastAsia="宋体"/>
                <w:color w:val="000000"/>
                <w:sz w:val="20"/>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tabs>
                <w:tab w:val="left" w:pos="430"/>
              </w:tabs>
              <w:jc w:val="center"/>
              <w:rPr>
                <w:rFonts w:hint="eastAsia" w:ascii="宋体" w:hAnsi="Times New Roman" w:eastAsia="宋体" w:cs="宋体"/>
                <w:sz w:val="24"/>
                <w:lang w:val="en-US" w:eastAsia="zh-CN"/>
              </w:rPr>
            </w:pPr>
            <w:r>
              <w:rPr>
                <w:rFonts w:hint="eastAsia" w:ascii="Calibri" w:hAnsi="Calibri" w:eastAsia="Calibri"/>
                <w:color w:val="000000"/>
                <w:sz w:val="20"/>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spacing w:beforeLines="0" w:afterLines="0"/>
              <w:jc w:val="center"/>
              <w:rPr>
                <w:rFonts w:hint="eastAsia" w:ascii="宋体" w:hAnsi="Times New Roman" w:cs="宋体"/>
                <w:sz w:val="24"/>
              </w:rPr>
            </w:pPr>
            <w:r>
              <w:rPr>
                <w:rFonts w:hint="default" w:ascii="Calibri" w:hAnsi="Calibri" w:eastAsia="Calibri"/>
                <w:color w:val="000000"/>
                <w:sz w:val="20"/>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spacing w:beforeLines="0" w:afterLines="0"/>
              <w:jc w:val="center"/>
              <w:rPr>
                <w:rFonts w:hint="eastAsia" w:ascii="宋体" w:hAnsi="Times New Roman" w:cs="宋体"/>
                <w:sz w:val="24"/>
              </w:rPr>
            </w:pPr>
            <w:r>
              <w:rPr>
                <w:rFonts w:hint="default" w:ascii="Calibri" w:hAnsi="Calibri" w:eastAsia="Calibri"/>
                <w:color w:val="000000"/>
                <w:sz w:val="20"/>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spacing w:beforeLines="0" w:afterLines="0"/>
              <w:jc w:val="center"/>
              <w:rPr>
                <w:rFonts w:hint="eastAsia" w:ascii="宋体" w:hAnsi="Times New Roman" w:cs="宋体"/>
                <w:sz w:val="24"/>
              </w:rPr>
            </w:pPr>
            <w:r>
              <w:rPr>
                <w:rFonts w:hint="default" w:ascii="Calibri" w:hAnsi="Calibri" w:eastAsia="Calibri"/>
                <w:color w:val="000000"/>
                <w:sz w:val="20"/>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spacing w:beforeLines="0" w:afterLines="0"/>
              <w:jc w:val="center"/>
              <w:rPr>
                <w:rFonts w:hint="eastAsia" w:ascii="宋体" w:hAnsi="Times New Roman" w:cs="宋体"/>
                <w:sz w:val="24"/>
              </w:rPr>
            </w:pPr>
            <w:r>
              <w:rPr>
                <w:rFonts w:hint="default" w:ascii="Calibri" w:hAnsi="Calibri" w:eastAsia="Calibri"/>
                <w:color w:val="000000"/>
                <w:sz w:val="20"/>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spacing w:beforeLines="0" w:afterLines="0"/>
              <w:jc w:val="center"/>
              <w:rPr>
                <w:rFonts w:hint="eastAsia" w:ascii="宋体" w:hAnsi="Times New Roman" w:cs="宋体"/>
                <w:sz w:val="24"/>
              </w:rPr>
            </w:pPr>
            <w:r>
              <w:rPr>
                <w:rFonts w:hint="default" w:ascii="Calibri" w:hAnsi="Calibri" w:eastAsia="Calibri"/>
                <w:color w:val="000000"/>
                <w:sz w:val="20"/>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tbl>
      <w:tblPr>
        <w:tblStyle w:val="7"/>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pPr>
            <w:r>
              <w:rPr>
                <w:rFonts w:hint="eastAsia" w:ascii="黑体" w:hAnsi="黑体" w:eastAsia="黑体"/>
                <w:color w:val="000000"/>
                <w:sz w:val="20"/>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beforeLines="0" w:afterLines="0"/>
              <w:jc w:val="center"/>
              <w:rPr>
                <w:rFonts w:hint="eastAsia" w:ascii="宋体" w:hAnsi="Times New Roman" w:cs="宋体"/>
                <w:sz w:val="24"/>
              </w:rPr>
            </w:pPr>
            <w:r>
              <w:rPr>
                <w:rFonts w:hint="eastAsia" w:ascii="黑体" w:hAnsi="黑体" w:eastAsia="黑体"/>
                <w:color w:val="000000"/>
                <w:sz w:val="20"/>
              </w:rPr>
              <w:t>0</w:t>
            </w:r>
          </w:p>
        </w:tc>
      </w:tr>
    </w:tbl>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（一）存在问题</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1.政府信息公开队伍对政策性文件发布新流程不熟悉。</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2.重点领域信息形式较为单一。</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（二）改进措施</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1.进一步加大培训力度，针对规范性文件、政策文件发布部门进行点对点专题指导。</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2.制作《职业指导V课堂》系列视频，进一步丰富重点领域信息公开形式。</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pacing w:val="8"/>
          <w:kern w:val="0"/>
          <w:sz w:val="32"/>
          <w:szCs w:val="32"/>
          <w:shd w:val="clear" w:color="auto" w:fill="auto"/>
        </w:rPr>
      </w:pPr>
      <w:bookmarkStart w:id="1" w:name="_GoBack"/>
      <w:bookmarkEnd w:id="1"/>
      <w:r>
        <w:rPr>
          <w:rFonts w:hint="eastAsia" w:ascii="仿宋_GB2312" w:hAnsi="仿宋_GB2312" w:eastAsia="仿宋_GB2312" w:cs="仿宋_GB2312"/>
          <w:spacing w:val="8"/>
          <w:kern w:val="0"/>
          <w:sz w:val="32"/>
          <w:szCs w:val="32"/>
          <w:shd w:val="clear" w:color="auto" w:fill="auto"/>
        </w:rPr>
        <w:t>我单位本年度发出收费通知的件数和总金额以及实际收取的总金额均为0。</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宋体" w:cs="宋体"/>
          <w:color w:val="9BC2E6"/>
          <w:spacing w:val="8"/>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pPr>
    </w:p>
    <w:p/>
    <w:sectPr>
      <w:pgSz w:w="11906" w:h="16838"/>
      <w:pgMar w:top="2098" w:right="1474" w:bottom="1984" w:left="1587" w:header="851" w:footer="992" w:gutter="0"/>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31639D"/>
    <w:rsid w:val="01DA233E"/>
    <w:rsid w:val="027E517B"/>
    <w:rsid w:val="028C0BA5"/>
    <w:rsid w:val="05B61BF1"/>
    <w:rsid w:val="06DF16FD"/>
    <w:rsid w:val="0AD241B7"/>
    <w:rsid w:val="0E470A67"/>
    <w:rsid w:val="0F030971"/>
    <w:rsid w:val="103A6F88"/>
    <w:rsid w:val="10582A24"/>
    <w:rsid w:val="105A1752"/>
    <w:rsid w:val="11442331"/>
    <w:rsid w:val="11DA7A31"/>
    <w:rsid w:val="13C82AD8"/>
    <w:rsid w:val="13EF57D2"/>
    <w:rsid w:val="15CD620A"/>
    <w:rsid w:val="15EA78E3"/>
    <w:rsid w:val="169F7149"/>
    <w:rsid w:val="187774FC"/>
    <w:rsid w:val="19CA2279"/>
    <w:rsid w:val="1DD257C7"/>
    <w:rsid w:val="243A3576"/>
    <w:rsid w:val="25B05FCB"/>
    <w:rsid w:val="269F6F0A"/>
    <w:rsid w:val="27C14804"/>
    <w:rsid w:val="2A5D6573"/>
    <w:rsid w:val="2A7C46A7"/>
    <w:rsid w:val="2C231E11"/>
    <w:rsid w:val="2CA50E93"/>
    <w:rsid w:val="2CC50CD2"/>
    <w:rsid w:val="2FC57935"/>
    <w:rsid w:val="305741AF"/>
    <w:rsid w:val="32FF52A5"/>
    <w:rsid w:val="38864295"/>
    <w:rsid w:val="38DD3A12"/>
    <w:rsid w:val="39553364"/>
    <w:rsid w:val="3A393715"/>
    <w:rsid w:val="3B03221B"/>
    <w:rsid w:val="3B3540CB"/>
    <w:rsid w:val="3E2C5F1C"/>
    <w:rsid w:val="3F595985"/>
    <w:rsid w:val="3FB2353E"/>
    <w:rsid w:val="4082233D"/>
    <w:rsid w:val="416522BA"/>
    <w:rsid w:val="437F6665"/>
    <w:rsid w:val="4387243C"/>
    <w:rsid w:val="444807E3"/>
    <w:rsid w:val="472758FE"/>
    <w:rsid w:val="489E15B5"/>
    <w:rsid w:val="4B787EE3"/>
    <w:rsid w:val="4CE94A67"/>
    <w:rsid w:val="5050741C"/>
    <w:rsid w:val="50EA1E6F"/>
    <w:rsid w:val="58AD6A62"/>
    <w:rsid w:val="58E721A5"/>
    <w:rsid w:val="598A30E5"/>
    <w:rsid w:val="5B1340A9"/>
    <w:rsid w:val="5BCE6DA4"/>
    <w:rsid w:val="5CE16A7C"/>
    <w:rsid w:val="61970D6C"/>
    <w:rsid w:val="61AA5C00"/>
    <w:rsid w:val="62DE4965"/>
    <w:rsid w:val="62F0742F"/>
    <w:rsid w:val="6416464A"/>
    <w:rsid w:val="65E51B87"/>
    <w:rsid w:val="67080083"/>
    <w:rsid w:val="676C6865"/>
    <w:rsid w:val="68196A03"/>
    <w:rsid w:val="686D5E87"/>
    <w:rsid w:val="6CC736C4"/>
    <w:rsid w:val="6D1213F8"/>
    <w:rsid w:val="70FC5584"/>
    <w:rsid w:val="717346A3"/>
    <w:rsid w:val="718C5483"/>
    <w:rsid w:val="727B2276"/>
    <w:rsid w:val="76A63832"/>
    <w:rsid w:val="77D91AD5"/>
    <w:rsid w:val="78A74426"/>
    <w:rsid w:val="78AB05EA"/>
    <w:rsid w:val="79476846"/>
    <w:rsid w:val="7AC41D1D"/>
    <w:rsid w:val="7B694F4C"/>
    <w:rsid w:val="7D1F4BA6"/>
    <w:rsid w:val="7F9B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黑体"/>
      <w:b/>
      <w:sz w:val="28"/>
    </w:rPr>
  </w:style>
  <w:style w:type="character" w:default="1" w:styleId="8">
    <w:name w:val="Default Paragraph Font"/>
    <w:semiHidden/>
    <w:qFormat/>
    <w:uiPriority w:val="0"/>
    <w:rPr>
      <w:rFonts w:ascii="Calibri" w:hAnsi="Calibri" w:eastAsia="仿宋_GB2312"/>
      <w:sz w:val="32"/>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qFormat/>
    <w:uiPriority w:val="0"/>
    <w:pPr>
      <w:jc w:val="left"/>
    </w:pPr>
  </w:style>
  <w:style w:type="paragraph" w:styleId="5">
    <w:name w:val="Body Text"/>
    <w:basedOn w:val="1"/>
    <w:qFormat/>
    <w:uiPriority w:val="0"/>
    <w:pPr>
      <w:spacing w:afterLines="0" w:afterAutospacing="0" w:line="560" w:lineRule="exact"/>
    </w:pPr>
    <w:rPr>
      <w:rFonts w:eastAsia="仿宋_GB2312"/>
    </w:rPr>
  </w:style>
  <w:style w:type="paragraph" w:styleId="6">
    <w:name w:val="Body Text First Indent"/>
    <w:basedOn w:val="5"/>
    <w:next w:val="1"/>
    <w:qFormat/>
    <w:uiPriority w:val="0"/>
    <w:pPr>
      <w:spacing w:line="560" w:lineRule="exact"/>
      <w:ind w:firstLine="880" w:firstLineChars="200"/>
    </w:pPr>
  </w:style>
  <w:style w:type="character" w:customStyle="1" w:styleId="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2025-01-10T10:39:00Z</dcterms:created>
  <dc:creator>芝士改变命运</dc:creator>
  <cp:lastModifiedBy>shen</cp:lastModifiedBy>
  <dcterms:modified xsi:type="dcterms:W3CDTF">2025-01-17T04:32:05Z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5B481288EC5F4AD0BACF441CCD77926A_12</vt:lpwstr>
  </property>
</Properties>
</file>