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B089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北京市大兴区文化和旅游局</w:t>
      </w:r>
    </w:p>
    <w:p w14:paraId="4FAA6F3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年政府信息公开工作年度报告</w:t>
      </w:r>
    </w:p>
    <w:p w14:paraId="57FF009E">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3252D347">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179C0D1B">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43FDF2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（一）组织领导情况</w:t>
      </w:r>
    </w:p>
    <w:p w14:paraId="78B2AE4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楷体_GB2312" w:hAnsi="楷体_GB2312" w:eastAsia="楷体_GB2312" w:cs="楷体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shd w:val="clear" w:color="auto" w:fill="FFFFFF"/>
          <w:lang w:eastAsia="zh-CN"/>
        </w:rPr>
        <w:t>成立政府信息公开工作领导小组，</w:t>
      </w:r>
      <w:r>
        <w:rPr>
          <w:rFonts w:hint="eastAsia" w:ascii="仿宋_GB2312" w:hAnsi="仿宋_GB2312" w:eastAsia="仿宋_GB2312" w:cs="仿宋_GB2312"/>
          <w:b w:val="0"/>
          <w:bCs w:val="0"/>
          <w:color w:val="auto"/>
          <w:sz w:val="32"/>
          <w:szCs w:val="32"/>
        </w:rPr>
        <w:t>由</w:t>
      </w:r>
      <w:r>
        <w:rPr>
          <w:rFonts w:hint="eastAsia" w:ascii="仿宋_GB2312" w:hAnsi="仿宋_GB2312" w:eastAsia="仿宋_GB2312" w:cs="仿宋_GB2312"/>
          <w:b w:val="0"/>
          <w:bCs w:val="0"/>
          <w:color w:val="auto"/>
          <w:sz w:val="32"/>
          <w:szCs w:val="32"/>
          <w:lang w:eastAsia="zh-CN"/>
        </w:rPr>
        <w:t>局党组书记、</w:t>
      </w:r>
      <w:r>
        <w:rPr>
          <w:rFonts w:hint="eastAsia" w:ascii="仿宋_GB2312" w:hAnsi="仿宋_GB2312" w:eastAsia="仿宋_GB2312" w:cs="仿宋_GB2312"/>
          <w:b w:val="0"/>
          <w:bCs w:val="0"/>
          <w:color w:val="auto"/>
          <w:sz w:val="32"/>
          <w:szCs w:val="32"/>
        </w:rPr>
        <w:t>局长任组长，</w:t>
      </w:r>
      <w:r>
        <w:rPr>
          <w:rFonts w:hint="eastAsia" w:ascii="仿宋_GB2312" w:hAnsi="仿宋_GB2312" w:eastAsia="仿宋_GB2312" w:cs="仿宋_GB2312"/>
          <w:b w:val="0"/>
          <w:bCs w:val="0"/>
          <w:color w:val="auto"/>
          <w:sz w:val="32"/>
          <w:szCs w:val="32"/>
          <w:lang w:eastAsia="zh-CN"/>
        </w:rPr>
        <w:t>分管</w:t>
      </w:r>
      <w:r>
        <w:rPr>
          <w:rFonts w:hint="eastAsia" w:ascii="仿宋_GB2312" w:hAnsi="仿宋_GB2312" w:eastAsia="仿宋_GB2312" w:cs="仿宋_GB2312"/>
          <w:b w:val="0"/>
          <w:bCs w:val="0"/>
          <w:color w:val="auto"/>
          <w:sz w:val="32"/>
          <w:szCs w:val="32"/>
        </w:rPr>
        <w:t>副局长任副组长，机关各科（室）、所属事业单位负责人为</w:t>
      </w:r>
      <w:r>
        <w:rPr>
          <w:rFonts w:hint="eastAsia" w:ascii="仿宋_GB2312" w:hAnsi="仿宋_GB2312" w:eastAsia="仿宋_GB2312" w:cs="仿宋_GB2312"/>
          <w:b w:val="0"/>
          <w:bCs w:val="0"/>
          <w:color w:val="auto"/>
          <w:sz w:val="32"/>
          <w:szCs w:val="32"/>
          <w:lang w:eastAsia="zh-CN"/>
        </w:rPr>
        <w:t>小组</w:t>
      </w:r>
      <w:r>
        <w:rPr>
          <w:rFonts w:hint="eastAsia" w:ascii="仿宋_GB2312" w:hAnsi="仿宋_GB2312" w:eastAsia="仿宋_GB2312" w:cs="仿宋_GB2312"/>
          <w:b w:val="0"/>
          <w:bCs w:val="0"/>
          <w:color w:val="auto"/>
          <w:sz w:val="32"/>
          <w:szCs w:val="32"/>
        </w:rPr>
        <w:t>成员</w:t>
      </w:r>
      <w:r>
        <w:rPr>
          <w:rFonts w:hint="eastAsia" w:ascii="仿宋_GB2312" w:hAnsi="仿宋_GB2312" w:eastAsia="仿宋_GB2312" w:cs="仿宋_GB2312"/>
          <w:b w:val="0"/>
          <w:bCs w:val="0"/>
          <w:color w:val="auto"/>
          <w:sz w:val="32"/>
          <w:szCs w:val="32"/>
          <w:lang w:eastAsia="zh-CN"/>
        </w:rPr>
        <w:t>。领导小组负责信息公开工作的统筹协调、督促落实，局机关办公室负责</w:t>
      </w:r>
      <w:r>
        <w:rPr>
          <w:rFonts w:hint="eastAsia" w:ascii="仿宋_GB2312" w:hAnsi="仿宋_GB2312" w:eastAsia="仿宋_GB2312" w:cs="仿宋_GB2312"/>
          <w:b w:val="0"/>
          <w:bCs w:val="0"/>
          <w:color w:val="auto"/>
          <w:sz w:val="32"/>
          <w:szCs w:val="32"/>
        </w:rPr>
        <w:t>政府信息公开</w:t>
      </w:r>
      <w:r>
        <w:rPr>
          <w:rFonts w:hint="eastAsia" w:ascii="仿宋_GB2312" w:hAnsi="仿宋_GB2312" w:eastAsia="仿宋_GB2312" w:cs="仿宋_GB2312"/>
          <w:b w:val="0"/>
          <w:bCs w:val="0"/>
          <w:color w:val="auto"/>
          <w:sz w:val="32"/>
          <w:szCs w:val="32"/>
          <w:lang w:eastAsia="zh-CN"/>
        </w:rPr>
        <w:t>工作的日常开展，形成“主要领导亲自抓、分管领导具体抓、各部门协同抓”的工作格局。同时，领导小组定期召开会议研究解决信息公开工作中的问题，确保各项工作落到实处，保障我局政府信息公开工作</w:t>
      </w:r>
      <w:r>
        <w:rPr>
          <w:rFonts w:hint="eastAsia" w:ascii="仿宋_GB2312" w:hAnsi="仿宋_GB2312" w:eastAsia="仿宋_GB2312" w:cs="仿宋_GB2312"/>
          <w:i w:val="0"/>
          <w:caps w:val="0"/>
          <w:color w:val="auto"/>
          <w:spacing w:val="0"/>
          <w:sz w:val="32"/>
          <w:szCs w:val="32"/>
          <w:shd w:val="clear" w:color="auto" w:fill="FFFFFF"/>
          <w:lang w:eastAsia="zh-CN"/>
        </w:rPr>
        <w:t>有序开展。</w:t>
      </w:r>
    </w:p>
    <w:p w14:paraId="7EA3905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主动公开情况</w:t>
      </w:r>
    </w:p>
    <w:p w14:paraId="02DBC4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2025年，通过政府门户网站主动公开机构职权、预决算、执法公示、公共文化服务等各类信息316条；新媒体平台</w:t>
      </w:r>
      <w:r>
        <w:rPr>
          <w:rFonts w:hint="eastAsia" w:ascii="仿宋_GB2312" w:hAnsi="仿宋_GB2312" w:eastAsia="仿宋_GB2312" w:cs="仿宋_GB2312"/>
          <w:i w:val="0"/>
          <w:caps w:val="0"/>
          <w:color w:val="auto"/>
          <w:spacing w:val="0"/>
          <w:sz w:val="32"/>
          <w:szCs w:val="32"/>
          <w:u w:val="none"/>
          <w:shd w:val="clear" w:fill="FFFFFF"/>
        </w:rPr>
        <w:t>“文旅大兴”</w:t>
      </w:r>
      <w:r>
        <w:rPr>
          <w:rFonts w:hint="eastAsia" w:ascii="仿宋_GB2312" w:hAnsi="仿宋_GB2312" w:eastAsia="仿宋_GB2312" w:cs="仿宋_GB2312"/>
          <w:sz w:val="32"/>
          <w:szCs w:val="32"/>
          <w:lang w:val="en-US" w:eastAsia="zh-CN"/>
        </w:rPr>
        <w:t>微信公众号</w:t>
      </w:r>
      <w:r>
        <w:rPr>
          <w:rFonts w:hint="eastAsia" w:ascii="仿宋_GB2312" w:hAnsi="仿宋_GB2312" w:eastAsia="仿宋_GB2312" w:cs="仿宋_GB2312"/>
          <w:color w:val="auto"/>
          <w:sz w:val="32"/>
          <w:szCs w:val="32"/>
          <w:lang w:val="en-US" w:eastAsia="zh-CN"/>
        </w:rPr>
        <w:t>发布各类</w:t>
      </w:r>
      <w:r>
        <w:rPr>
          <w:rFonts w:hint="eastAsia" w:ascii="仿宋_GB2312" w:hAnsi="仿宋_GB2312" w:eastAsia="仿宋_GB2312" w:cs="仿宋_GB2312"/>
          <w:i w:val="0"/>
          <w:caps w:val="0"/>
          <w:color w:val="auto"/>
          <w:spacing w:val="0"/>
          <w:sz w:val="32"/>
          <w:szCs w:val="32"/>
          <w:u w:val="none"/>
          <w:shd w:val="clear" w:fill="FFFFFF"/>
        </w:rPr>
        <w:t>文旅信息、精品活动、工作动态等</w:t>
      </w:r>
      <w:r>
        <w:rPr>
          <w:rFonts w:hint="eastAsia" w:ascii="仿宋_GB2312" w:hAnsi="仿宋_GB2312" w:eastAsia="仿宋_GB2312" w:cs="仿宋_GB2312"/>
          <w:color w:val="auto"/>
          <w:sz w:val="32"/>
          <w:szCs w:val="32"/>
          <w:lang w:val="en-US" w:eastAsia="zh-CN"/>
        </w:rPr>
        <w:t>1144条，账号累计粉丝数达59988人；同时</w:t>
      </w:r>
      <w:r>
        <w:rPr>
          <w:rFonts w:hint="eastAsia" w:ascii="仿宋_GB2312" w:hAnsi="仿宋_GB2312" w:eastAsia="仿宋_GB2312" w:cs="仿宋_GB2312"/>
          <w:sz w:val="32"/>
          <w:szCs w:val="32"/>
          <w:lang w:val="en-US" w:eastAsia="zh-CN"/>
        </w:rPr>
        <w:t>向</w:t>
      </w:r>
      <w:r>
        <w:rPr>
          <w:rFonts w:hint="eastAsia" w:ascii="仿宋_GB2312" w:hAnsi="仿宋_GB2312" w:eastAsia="仿宋_GB2312" w:cs="仿宋_GB2312"/>
          <w:color w:val="auto"/>
          <w:sz w:val="32"/>
          <w:szCs w:val="32"/>
          <w:lang w:val="en-US" w:eastAsia="zh-CN"/>
        </w:rPr>
        <w:t>北京文旅信息、大兴信息等内刊报送信息170余条，其中《北京文旅信息》采用34条，《大兴信息》普刊上刊62篇、专刊2篇。</w:t>
      </w:r>
    </w:p>
    <w:p w14:paraId="1DC37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60CDF116">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（三）依申请公开办理情况</w:t>
      </w:r>
    </w:p>
    <w:p w14:paraId="79D660D5">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仿宋_GB2312" w:hAnsi="仿宋_GB2312" w:eastAsia="仿宋_GB2312" w:cs="仿宋_GB2312"/>
          <w:i w:val="0"/>
          <w:caps w:val="0"/>
          <w:color w:val="auto"/>
          <w:spacing w:val="0"/>
          <w:sz w:val="32"/>
          <w:szCs w:val="32"/>
          <w:u w:val="none"/>
          <w:shd w:val="clear" w:fill="FFFFFF"/>
        </w:rPr>
        <w:t>202</w:t>
      </w:r>
      <w:r>
        <w:rPr>
          <w:rFonts w:hint="eastAsia" w:ascii="仿宋_GB2312" w:hAnsi="仿宋_GB2312" w:eastAsia="仿宋_GB2312" w:cs="仿宋_GB2312"/>
          <w:i w:val="0"/>
          <w:caps w:val="0"/>
          <w:color w:val="auto"/>
          <w:spacing w:val="0"/>
          <w:sz w:val="32"/>
          <w:szCs w:val="32"/>
          <w:u w:val="none"/>
          <w:shd w:val="clear" w:fill="FFFFFF"/>
          <w:lang w:val="en-US" w:eastAsia="zh-CN"/>
        </w:rPr>
        <w:t>5</w:t>
      </w:r>
      <w:r>
        <w:rPr>
          <w:rFonts w:hint="eastAsia" w:ascii="仿宋_GB2312" w:hAnsi="仿宋_GB2312" w:eastAsia="仿宋_GB2312" w:cs="仿宋_GB2312"/>
          <w:i w:val="0"/>
          <w:caps w:val="0"/>
          <w:color w:val="auto"/>
          <w:spacing w:val="0"/>
          <w:sz w:val="32"/>
          <w:szCs w:val="32"/>
          <w:u w:val="none"/>
          <w:shd w:val="clear" w:fill="FFFFFF"/>
        </w:rPr>
        <w:t>年我</w:t>
      </w:r>
      <w:r>
        <w:rPr>
          <w:rFonts w:hint="eastAsia" w:ascii="仿宋_GB2312" w:hAnsi="仿宋_GB2312" w:eastAsia="仿宋_GB2312" w:cs="仿宋_GB2312"/>
          <w:i w:val="0"/>
          <w:caps w:val="0"/>
          <w:color w:val="auto"/>
          <w:spacing w:val="0"/>
          <w:sz w:val="32"/>
          <w:szCs w:val="32"/>
          <w:u w:val="none"/>
          <w:shd w:val="clear" w:fill="FFFFFF"/>
          <w:lang w:eastAsia="zh-CN"/>
        </w:rPr>
        <w:t>局共受理</w:t>
      </w:r>
      <w:r>
        <w:rPr>
          <w:rFonts w:hint="eastAsia" w:ascii="仿宋_GB2312" w:hAnsi="仿宋_GB2312" w:eastAsia="仿宋_GB2312" w:cs="仿宋_GB2312"/>
          <w:i w:val="0"/>
          <w:caps w:val="0"/>
          <w:color w:val="auto"/>
          <w:spacing w:val="0"/>
          <w:sz w:val="32"/>
          <w:szCs w:val="32"/>
          <w:u w:val="none"/>
          <w:shd w:val="clear" w:fill="FFFFFF"/>
        </w:rPr>
        <w:t>政府信息公开申请</w:t>
      </w:r>
      <w:r>
        <w:rPr>
          <w:rFonts w:hint="eastAsia" w:ascii="仿宋_GB2312" w:hAnsi="仿宋_GB2312" w:eastAsia="仿宋_GB2312" w:cs="仿宋_GB2312"/>
          <w:i w:val="0"/>
          <w:caps w:val="0"/>
          <w:color w:val="auto"/>
          <w:spacing w:val="0"/>
          <w:sz w:val="32"/>
          <w:szCs w:val="32"/>
          <w:u w:val="none"/>
          <w:shd w:val="clear" w:fill="FFFFFF"/>
          <w:lang w:val="en-US" w:eastAsia="zh-CN"/>
        </w:rPr>
        <w:t>2</w:t>
      </w:r>
      <w:r>
        <w:rPr>
          <w:rFonts w:hint="eastAsia" w:ascii="仿宋_GB2312" w:hAnsi="仿宋_GB2312" w:eastAsia="仿宋_GB2312" w:cs="仿宋_GB2312"/>
          <w:i w:val="0"/>
          <w:caps w:val="0"/>
          <w:color w:val="auto"/>
          <w:spacing w:val="0"/>
          <w:sz w:val="32"/>
          <w:szCs w:val="32"/>
          <w:u w:val="none"/>
          <w:shd w:val="clear" w:fill="FFFFFF"/>
        </w:rPr>
        <w:t>件</w:t>
      </w:r>
      <w:r>
        <w:rPr>
          <w:rFonts w:hint="eastAsia" w:ascii="仿宋_GB2312" w:hAnsi="仿宋_GB2312" w:eastAsia="仿宋_GB2312" w:cs="仿宋_GB2312"/>
          <w:i w:val="0"/>
          <w:caps w:val="0"/>
          <w:color w:val="auto"/>
          <w:spacing w:val="0"/>
          <w:sz w:val="32"/>
          <w:szCs w:val="32"/>
          <w:u w:val="none"/>
          <w:shd w:val="clear" w:fill="FFFFFF"/>
          <w:lang w:eastAsia="zh-CN"/>
        </w:rPr>
        <w:t>，均已</w:t>
      </w:r>
      <w:r>
        <w:rPr>
          <w:rFonts w:hint="eastAsia" w:ascii="仿宋_GB2312" w:hAnsi="仿宋_GB2312" w:eastAsia="仿宋_GB2312" w:cs="仿宋_GB2312"/>
          <w:i w:val="0"/>
          <w:caps w:val="0"/>
          <w:color w:val="auto"/>
          <w:spacing w:val="0"/>
          <w:sz w:val="32"/>
          <w:szCs w:val="32"/>
          <w:u w:val="none"/>
          <w:shd w:val="clear" w:fill="FFFFFF"/>
        </w:rPr>
        <w:t>按期</w:t>
      </w:r>
      <w:r>
        <w:rPr>
          <w:rFonts w:hint="eastAsia" w:ascii="仿宋_GB2312" w:hAnsi="仿宋_GB2312" w:eastAsia="仿宋_GB2312" w:cs="仿宋_GB2312"/>
          <w:i w:val="0"/>
          <w:caps w:val="0"/>
          <w:color w:val="auto"/>
          <w:spacing w:val="0"/>
          <w:sz w:val="32"/>
          <w:szCs w:val="32"/>
          <w:u w:val="none"/>
          <w:shd w:val="clear" w:fill="FFFFFF"/>
          <w:lang w:eastAsia="zh-CN"/>
        </w:rPr>
        <w:t>答</w:t>
      </w:r>
      <w:r>
        <w:rPr>
          <w:rFonts w:hint="eastAsia" w:ascii="仿宋_GB2312" w:hAnsi="仿宋_GB2312" w:eastAsia="仿宋_GB2312" w:cs="仿宋_GB2312"/>
          <w:i w:val="0"/>
          <w:caps w:val="0"/>
          <w:color w:val="auto"/>
          <w:spacing w:val="0"/>
          <w:sz w:val="32"/>
          <w:szCs w:val="32"/>
          <w:u w:val="none"/>
          <w:shd w:val="clear" w:fill="FFFFFF"/>
        </w:rPr>
        <w:t>复</w:t>
      </w:r>
      <w:r>
        <w:rPr>
          <w:rFonts w:hint="eastAsia" w:ascii="仿宋_GB2312" w:hAnsi="仿宋_GB2312" w:eastAsia="仿宋_GB2312" w:cs="仿宋_GB2312"/>
          <w:i w:val="0"/>
          <w:caps w:val="0"/>
          <w:color w:val="auto"/>
          <w:spacing w:val="0"/>
          <w:sz w:val="32"/>
          <w:szCs w:val="32"/>
          <w:u w:val="none"/>
          <w:shd w:val="clear" w:fill="FFFFFF"/>
          <w:lang w:eastAsia="zh-CN"/>
        </w:rPr>
        <w:t>。收到政府信息公开行政复议</w:t>
      </w:r>
      <w:r>
        <w:rPr>
          <w:rFonts w:hint="eastAsia" w:ascii="仿宋_GB2312" w:hAnsi="仿宋_GB2312" w:eastAsia="仿宋_GB2312" w:cs="仿宋_GB2312"/>
          <w:i w:val="0"/>
          <w:caps w:val="0"/>
          <w:color w:val="auto"/>
          <w:spacing w:val="0"/>
          <w:sz w:val="32"/>
          <w:szCs w:val="32"/>
          <w:u w:val="none"/>
          <w:shd w:val="clear" w:fill="FFFFFF"/>
          <w:lang w:val="en-US" w:eastAsia="zh-CN"/>
        </w:rPr>
        <w:t>2</w:t>
      </w:r>
      <w:r>
        <w:rPr>
          <w:rFonts w:hint="eastAsia" w:ascii="仿宋_GB2312" w:hAnsi="仿宋_GB2312" w:eastAsia="仿宋_GB2312" w:cs="仿宋_GB2312"/>
          <w:i w:val="0"/>
          <w:caps w:val="0"/>
          <w:color w:val="auto"/>
          <w:spacing w:val="0"/>
          <w:sz w:val="32"/>
          <w:szCs w:val="32"/>
          <w:u w:val="none"/>
          <w:shd w:val="clear" w:fill="FFFFFF"/>
          <w:lang w:eastAsia="zh-CN"/>
        </w:rPr>
        <w:t>件，其中其他结果</w:t>
      </w:r>
      <w:r>
        <w:rPr>
          <w:rFonts w:hint="eastAsia" w:ascii="仿宋_GB2312" w:hAnsi="仿宋_GB2312" w:eastAsia="仿宋_GB2312" w:cs="仿宋_GB2312"/>
          <w:i w:val="0"/>
          <w:caps w:val="0"/>
          <w:color w:val="auto"/>
          <w:spacing w:val="0"/>
          <w:sz w:val="32"/>
          <w:szCs w:val="32"/>
          <w:u w:val="none"/>
          <w:shd w:val="clear" w:fill="FFFFFF"/>
          <w:lang w:val="en-US" w:eastAsia="zh-CN"/>
        </w:rPr>
        <w:t>1件，尚未审结1件</w:t>
      </w:r>
      <w:r>
        <w:rPr>
          <w:rFonts w:hint="eastAsia" w:ascii="仿宋_GB2312" w:hAnsi="仿宋_GB2312" w:eastAsia="仿宋_GB2312" w:cs="仿宋_GB2312"/>
          <w:i w:val="0"/>
          <w:caps w:val="0"/>
          <w:color w:val="auto"/>
          <w:spacing w:val="0"/>
          <w:sz w:val="32"/>
          <w:szCs w:val="32"/>
          <w:u w:val="none"/>
          <w:shd w:val="clear" w:fill="FFFFFF"/>
        </w:rPr>
        <w:t>。</w:t>
      </w:r>
    </w:p>
    <w:p w14:paraId="42BF985A">
      <w:pPr>
        <w:pStyle w:val="4"/>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政府信息管理情况</w:t>
      </w:r>
    </w:p>
    <w:p w14:paraId="2654E1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28"/>
          <w:lang w:eastAsia="zh-CN"/>
        </w:rPr>
      </w:pPr>
      <w:r>
        <w:rPr>
          <w:rFonts w:hint="eastAsia" w:ascii="仿宋_GB2312" w:hAnsi="仿宋_GB2312" w:eastAsia="仿宋_GB2312" w:cs="仿宋_GB2312"/>
          <w:color w:val="auto"/>
          <w:sz w:val="32"/>
          <w:szCs w:val="32"/>
          <w:lang w:val="en-US" w:eastAsia="zh-CN"/>
        </w:rPr>
        <w:t>根据《北京市大兴区文化和旅游局信息宣传管理制度》</w:t>
      </w:r>
      <w:r>
        <w:rPr>
          <w:rFonts w:hint="eastAsia" w:ascii="仿宋_GB2312" w:hAnsi="仿宋_GB2312" w:eastAsia="仿宋_GB2312" w:cs="仿宋_GB2312"/>
          <w:b w:val="0"/>
          <w:bCs w:val="0"/>
          <w:color w:val="auto"/>
          <w:sz w:val="32"/>
          <w:szCs w:val="32"/>
          <w:lang w:eastAsia="zh-CN"/>
        </w:rPr>
        <w:t>、《新媒体平台运行制度》、《大兴区文化和旅游局信息公开保密审查制度》，</w:t>
      </w:r>
      <w:r>
        <w:rPr>
          <w:rFonts w:hint="eastAsia" w:ascii="仿宋_GB2312" w:hAnsi="仿宋_GB2312" w:eastAsia="仿宋_GB2312" w:cs="仿宋_GB2312"/>
          <w:color w:val="auto"/>
          <w:sz w:val="32"/>
          <w:szCs w:val="32"/>
          <w:lang w:val="en-US" w:eastAsia="zh-CN"/>
        </w:rPr>
        <w:t>从政府信息公开的组织管理、报送、审核等方面细化工作要求，严格落实“编辑-审核-签发”三级审核管理机制，明确责任主体，要求所报送及发布的信息不得涉密、不得含有政治不当言论等内容，确保公开信息内容准确合规。</w:t>
      </w:r>
    </w:p>
    <w:p w14:paraId="2907A732">
      <w:pPr>
        <w:pStyle w:val="4"/>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政府信息公开平台建设情况</w:t>
      </w:r>
    </w:p>
    <w:p w14:paraId="6ACE8B2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i w:val="0"/>
          <w:caps w:val="0"/>
          <w:color w:val="auto"/>
          <w:spacing w:val="0"/>
          <w:sz w:val="32"/>
          <w:szCs w:val="32"/>
          <w:u w:val="none"/>
          <w:shd w:val="clear" w:fill="FFFFFF"/>
        </w:rPr>
      </w:pPr>
      <w:r>
        <w:rPr>
          <w:rFonts w:hint="eastAsia" w:ascii="仿宋_GB2312" w:hAnsi="仿宋_GB2312" w:eastAsia="仿宋_GB2312" w:cs="仿宋_GB2312"/>
          <w:color w:val="auto"/>
          <w:sz w:val="32"/>
          <w:szCs w:val="32"/>
          <w:lang w:val="zh-CN" w:eastAsia="zh-CN"/>
        </w:rPr>
        <w:t>以政府门户网站为核心载体，做好</w:t>
      </w:r>
      <w:r>
        <w:rPr>
          <w:rFonts w:hint="eastAsia" w:ascii="仿宋_GB2312" w:hAnsi="仿宋_GB2312" w:eastAsia="仿宋_GB2312" w:cs="仿宋_GB2312"/>
          <w:color w:val="auto"/>
          <w:kern w:val="0"/>
          <w:sz w:val="32"/>
          <w:szCs w:val="32"/>
          <w:lang w:bidi="ar"/>
        </w:rPr>
        <w:t>网站</w:t>
      </w:r>
      <w:r>
        <w:rPr>
          <w:rFonts w:hint="eastAsia" w:ascii="仿宋_GB2312" w:hAnsi="仿宋_GB2312" w:eastAsia="仿宋_GB2312" w:cs="仿宋_GB2312"/>
          <w:color w:val="auto"/>
          <w:kern w:val="0"/>
          <w:sz w:val="32"/>
          <w:szCs w:val="32"/>
          <w:lang w:eastAsia="zh-CN" w:bidi="ar"/>
        </w:rPr>
        <w:t>专栏</w:t>
      </w:r>
      <w:r>
        <w:rPr>
          <w:rFonts w:hint="eastAsia" w:ascii="仿宋_GB2312" w:hAnsi="仿宋_GB2312" w:eastAsia="仿宋_GB2312" w:cs="仿宋_GB2312"/>
          <w:color w:val="auto"/>
          <w:kern w:val="0"/>
          <w:sz w:val="32"/>
          <w:szCs w:val="32"/>
          <w:lang w:bidi="ar"/>
        </w:rPr>
        <w:t>内容</w:t>
      </w:r>
      <w:r>
        <w:rPr>
          <w:rFonts w:hint="eastAsia" w:ascii="仿宋_GB2312" w:hAnsi="仿宋_GB2312" w:eastAsia="仿宋_GB2312" w:cs="仿宋_GB2312"/>
          <w:color w:val="auto"/>
          <w:kern w:val="0"/>
          <w:sz w:val="32"/>
          <w:szCs w:val="32"/>
          <w:lang w:eastAsia="zh-CN" w:bidi="ar"/>
        </w:rPr>
        <w:t>更新工作，确保各类信息及时准确公开。</w:t>
      </w:r>
      <w:r>
        <w:rPr>
          <w:rFonts w:hint="eastAsia" w:ascii="仿宋_GB2312" w:hAnsi="仿宋_GB2312" w:eastAsia="仿宋_GB2312" w:cs="仿宋_GB2312"/>
          <w:color w:val="auto"/>
          <w:sz w:val="32"/>
          <w:szCs w:val="32"/>
          <w:highlight w:val="none"/>
          <w:lang w:val="en-US" w:eastAsia="zh-CN"/>
        </w:rPr>
        <w:t>充分利用新媒体平台“文旅大兴”微信公众号发布各类文旅活动信息</w:t>
      </w:r>
      <w:r>
        <w:rPr>
          <w:rFonts w:hint="eastAsia" w:ascii="仿宋_GB2312" w:hAnsi="仿宋_GB2312" w:eastAsia="仿宋_GB2312" w:cs="仿宋_GB2312"/>
          <w:b w:val="0"/>
          <w:bCs w:val="0"/>
          <w:color w:val="auto"/>
          <w:sz w:val="32"/>
          <w:szCs w:val="32"/>
        </w:rPr>
        <w:t>。同时，区行政服务中心办事大厅文旅局窗口及区图书馆作为政府信息公开查阅点，提供信息公开相关问题咨询，方便公众查阅政府信息。</w:t>
      </w:r>
    </w:p>
    <w:p w14:paraId="77FA7738">
      <w:pPr>
        <w:pStyle w:val="4"/>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（六）政府信息公开教育培训情况</w:t>
      </w:r>
    </w:p>
    <w:p w14:paraId="47D797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eastAsia="zh-CN" w:bidi="ar"/>
        </w:rPr>
        <w:t>积极参加</w:t>
      </w:r>
      <w:r>
        <w:rPr>
          <w:rFonts w:hint="eastAsia" w:ascii="仿宋_GB2312" w:hAnsi="仿宋_GB2312" w:eastAsia="仿宋_GB2312" w:cs="仿宋_GB2312"/>
          <w:color w:val="000000"/>
          <w:sz w:val="32"/>
          <w:szCs w:val="32"/>
          <w:highlight w:val="none"/>
        </w:rPr>
        <w:t>区政务</w:t>
      </w:r>
      <w:r>
        <w:rPr>
          <w:rFonts w:hint="eastAsia" w:ascii="仿宋_GB2312" w:hAnsi="仿宋_GB2312" w:eastAsia="仿宋_GB2312" w:cs="仿宋_GB2312"/>
          <w:color w:val="000000"/>
          <w:sz w:val="32"/>
          <w:szCs w:val="32"/>
          <w:highlight w:val="none"/>
          <w:lang w:eastAsia="zh-CN"/>
        </w:rPr>
        <w:t>和数据</w:t>
      </w:r>
      <w:r>
        <w:rPr>
          <w:rFonts w:hint="eastAsia" w:ascii="仿宋_GB2312" w:hAnsi="仿宋_GB2312" w:eastAsia="仿宋_GB2312" w:cs="仿宋_GB2312"/>
          <w:color w:val="000000"/>
          <w:sz w:val="32"/>
          <w:szCs w:val="32"/>
          <w:highlight w:val="none"/>
        </w:rPr>
        <w:t>局</w:t>
      </w:r>
      <w:r>
        <w:rPr>
          <w:rFonts w:hint="eastAsia" w:ascii="仿宋_GB2312" w:hAnsi="仿宋_GB2312" w:eastAsia="仿宋_GB2312" w:cs="仿宋_GB2312"/>
          <w:color w:val="auto"/>
          <w:kern w:val="0"/>
          <w:sz w:val="32"/>
          <w:szCs w:val="32"/>
          <w:lang w:eastAsia="zh-CN" w:bidi="ar"/>
        </w:rPr>
        <w:t>组织的政府信息公开及依申请公开工作相关培训。本年度组织我局信息公共工作培训</w:t>
      </w:r>
      <w:r>
        <w:rPr>
          <w:rFonts w:hint="eastAsia" w:ascii="仿宋_GB2312" w:hAnsi="仿宋_GB2312" w:eastAsia="仿宋_GB2312" w:cs="仿宋_GB2312"/>
          <w:color w:val="auto"/>
          <w:kern w:val="0"/>
          <w:sz w:val="32"/>
          <w:szCs w:val="32"/>
          <w:lang w:val="en-US" w:eastAsia="zh-CN" w:bidi="ar"/>
        </w:rPr>
        <w:t>1次，共计20人参加，进一步</w:t>
      </w:r>
      <w:r>
        <w:rPr>
          <w:rFonts w:hint="eastAsia" w:ascii="仿宋_GB2312" w:hAnsi="仿宋_GB2312" w:eastAsia="仿宋_GB2312" w:cs="仿宋_GB2312"/>
          <w:color w:val="auto"/>
          <w:kern w:val="0"/>
          <w:sz w:val="32"/>
          <w:szCs w:val="32"/>
          <w:lang w:eastAsia="zh-CN" w:bidi="ar"/>
        </w:rPr>
        <w:t>提高了我局信息公开工作人员专业素质和业务能力。</w:t>
      </w:r>
    </w:p>
    <w:p w14:paraId="10055F55">
      <w:pPr>
        <w:pStyle w:val="4"/>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i w:val="0"/>
          <w:caps w:val="0"/>
          <w:color w:val="auto"/>
          <w:spacing w:val="0"/>
          <w:sz w:val="32"/>
          <w:szCs w:val="32"/>
          <w:u w:val="none"/>
          <w:shd w:val="clear" w:fill="FFFFFF"/>
        </w:rPr>
      </w:pPr>
      <w:r>
        <w:rPr>
          <w:rFonts w:hint="eastAsia" w:ascii="楷体_GB2312" w:hAnsi="楷体_GB2312" w:eastAsia="楷体_GB2312" w:cs="楷体_GB2312"/>
          <w:i w:val="0"/>
          <w:caps w:val="0"/>
          <w:color w:val="auto"/>
          <w:spacing w:val="0"/>
          <w:sz w:val="32"/>
          <w:szCs w:val="32"/>
          <w:u w:val="none"/>
          <w:shd w:val="clear" w:fill="FFFFFF"/>
        </w:rPr>
        <w:t>监督保障情况</w:t>
      </w:r>
    </w:p>
    <w:p w14:paraId="402AB72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i w:val="0"/>
          <w:caps w:val="0"/>
          <w:color w:val="auto"/>
          <w:spacing w:val="0"/>
          <w:sz w:val="32"/>
          <w:szCs w:val="32"/>
          <w:u w:val="none"/>
          <w:shd w:val="clear" w:fill="FFFFFF"/>
          <w:lang w:eastAsia="zh-CN"/>
        </w:rPr>
      </w:pPr>
      <w:r>
        <w:rPr>
          <w:rFonts w:hint="eastAsia" w:ascii="仿宋_GB2312" w:hAnsi="仿宋_GB2312" w:eastAsia="仿宋_GB2312" w:cs="仿宋_GB2312"/>
          <w:i w:val="0"/>
          <w:caps w:val="0"/>
          <w:color w:val="auto"/>
          <w:spacing w:val="0"/>
          <w:sz w:val="32"/>
          <w:szCs w:val="32"/>
          <w:u w:val="none"/>
          <w:shd w:val="clear" w:fill="FFFFFF"/>
          <w:lang w:eastAsia="zh-CN"/>
        </w:rPr>
        <w:t>将政府信息公开工作列入我局年度工作计划及各部门年度考核范围，加强日常信息发布保密审查和监督管理工作，确保信息发布及时、准确。不断完善信息公开指南，确保依申请公开信息受理渠道畅通。同时，根据《大兴区文化和旅游局对外联系电话管理制度》要求，做好对外联系电话管理</w:t>
      </w:r>
      <w:bookmarkStart w:id="0" w:name="_GoBack"/>
      <w:bookmarkEnd w:id="0"/>
      <w:r>
        <w:rPr>
          <w:rFonts w:hint="eastAsia" w:ascii="仿宋_GB2312" w:hAnsi="仿宋_GB2312" w:eastAsia="仿宋_GB2312" w:cs="仿宋_GB2312"/>
          <w:i w:val="0"/>
          <w:caps w:val="0"/>
          <w:color w:val="auto"/>
          <w:spacing w:val="0"/>
          <w:sz w:val="32"/>
          <w:szCs w:val="32"/>
          <w:u w:val="none"/>
          <w:shd w:val="clear" w:fill="FFFFFF"/>
          <w:lang w:eastAsia="zh-CN"/>
        </w:rPr>
        <w:t>工作，确保电话畅通，接听规范。</w:t>
      </w:r>
    </w:p>
    <w:p w14:paraId="20DA15A1">
      <w:pPr>
        <w:keepNext w:val="0"/>
        <w:keepLines w:val="0"/>
        <w:pageBreakBefore w:val="0"/>
        <w:numPr>
          <w:ilvl w:val="0"/>
          <w:numId w:val="4"/>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4A2DF277">
      <w:pPr>
        <w:pStyle w:val="4"/>
        <w:spacing w:line="560" w:lineRule="exact"/>
        <w:rPr>
          <w:rFonts w:hint="eastAsia"/>
        </w:rPr>
      </w:pPr>
    </w:p>
    <w:tbl>
      <w:tblPr>
        <w:tblStyle w:val="6"/>
        <w:tblW w:w="9740" w:type="dxa"/>
        <w:jc w:val="center"/>
        <w:tblLayout w:type="fixed"/>
        <w:tblCellMar>
          <w:top w:w="0" w:type="dxa"/>
          <w:left w:w="0" w:type="dxa"/>
          <w:bottom w:w="0" w:type="dxa"/>
          <w:right w:w="0" w:type="dxa"/>
        </w:tblCellMar>
      </w:tblPr>
      <w:tblGrid>
        <w:gridCol w:w="2435"/>
        <w:gridCol w:w="2435"/>
        <w:gridCol w:w="2435"/>
        <w:gridCol w:w="2435"/>
      </w:tblGrid>
      <w:tr w14:paraId="43B4262B">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tcMar>
              <w:left w:w="57" w:type="dxa"/>
              <w:right w:w="57" w:type="dxa"/>
            </w:tcMar>
            <w:vAlign w:val="center"/>
          </w:tcPr>
          <w:p w14:paraId="16F94C99">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0906C38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2430E78">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657032FB">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40CB060">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2417418E">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0B6CA8D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4EC0E64">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7C1E703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6E9ECF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015233B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1C61381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FFFC1EB">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4C24E7C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4139A4C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1FCDB09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03C5186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tcMar>
              <w:left w:w="57" w:type="dxa"/>
              <w:right w:w="57" w:type="dxa"/>
            </w:tcMar>
            <w:vAlign w:val="center"/>
          </w:tcPr>
          <w:p w14:paraId="61144C50">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第二十条第（五）项</w:t>
            </w:r>
          </w:p>
        </w:tc>
      </w:tr>
      <w:tr w14:paraId="0AF9D31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B33F3CE">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493C98E2">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本年处理决定数量</w:t>
            </w:r>
          </w:p>
        </w:tc>
      </w:tr>
      <w:tr w14:paraId="7E5E559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F3187A0">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4013307">
            <w:pPr>
              <w:widowControl/>
              <w:spacing w:line="560" w:lineRule="exact"/>
              <w:jc w:val="center"/>
              <w:rPr>
                <w:rFonts w:hint="eastAsia" w:ascii="宋体" w:hAnsi="宋体" w:eastAsia="宋体" w:cs="宋体"/>
              </w:rPr>
            </w:pPr>
            <w:r>
              <w:rPr>
                <w:rFonts w:hint="eastAsia" w:ascii="Calibri" w:hAnsi="Calibri" w:cs="Calibri"/>
                <w:kern w:val="0"/>
                <w:sz w:val="20"/>
                <w:szCs w:val="20"/>
                <w:lang w:val="en-US" w:eastAsia="zh-CN" w:bidi="ar"/>
              </w:rPr>
              <w:t>232</w:t>
            </w:r>
          </w:p>
        </w:tc>
      </w:tr>
      <w:tr w14:paraId="473A6F46">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tcMar>
              <w:left w:w="57" w:type="dxa"/>
              <w:right w:w="57" w:type="dxa"/>
            </w:tcMar>
            <w:vAlign w:val="center"/>
          </w:tcPr>
          <w:p w14:paraId="0F88F6D0">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第二十条第（六）项</w:t>
            </w:r>
          </w:p>
        </w:tc>
      </w:tr>
      <w:tr w14:paraId="0EF7E24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C6BB46D">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0A84B488">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本年处理决定数量</w:t>
            </w:r>
          </w:p>
        </w:tc>
      </w:tr>
      <w:tr w14:paraId="2DC2F85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2C7FBFE">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2FBFB2D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44</w:t>
            </w:r>
          </w:p>
        </w:tc>
      </w:tr>
      <w:tr w14:paraId="61C07D8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tcMar>
              <w:left w:w="57" w:type="dxa"/>
              <w:right w:w="57" w:type="dxa"/>
            </w:tcMar>
            <w:vAlign w:val="center"/>
          </w:tcPr>
          <w:p w14:paraId="3EA97EA0">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tcMar>
              <w:left w:w="57" w:type="dxa"/>
              <w:right w:w="57" w:type="dxa"/>
            </w:tcMar>
            <w:vAlign w:val="center"/>
          </w:tcPr>
          <w:p w14:paraId="363B91A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r w14:paraId="7A0C8E7B">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2559DE1">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第二十条第（八）项</w:t>
            </w:r>
          </w:p>
        </w:tc>
      </w:tr>
      <w:tr w14:paraId="64DA9422">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92AAD21">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2F5DA11">
            <w:pPr>
              <w:widowControl/>
              <w:spacing w:line="560" w:lineRule="exact"/>
              <w:jc w:val="center"/>
              <w:rPr>
                <w:rFonts w:hint="eastAsia" w:ascii="宋体" w:hAnsi="宋体" w:eastAsia="宋体" w:cs="宋体"/>
              </w:rPr>
            </w:pPr>
            <w:r>
              <w:rPr>
                <w:rFonts w:hint="eastAsia" w:ascii="宋体" w:hAnsi="宋体" w:eastAsia="宋体" w:cs="宋体"/>
                <w:color w:val="000000"/>
                <w:kern w:val="0"/>
                <w:sz w:val="20"/>
                <w:szCs w:val="20"/>
                <w:lang w:bidi="ar"/>
              </w:rPr>
              <w:t>本年收费金额（单位：万元）</w:t>
            </w:r>
          </w:p>
        </w:tc>
      </w:tr>
      <w:tr w14:paraId="76A117CC">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27A0E94">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DE9616E">
            <w:pPr>
              <w:widowControl/>
              <w:spacing w:line="560" w:lineRule="exact"/>
              <w:jc w:val="center"/>
              <w:rPr>
                <w:rFonts w:hint="eastAsia" w:ascii="宋体" w:hAnsi="宋体" w:eastAsia="宋体" w:cs="宋体"/>
                <w:sz w:val="24"/>
                <w:lang w:val="en-US" w:eastAsia="zh-CN"/>
              </w:rPr>
            </w:pPr>
            <w:r>
              <w:rPr>
                <w:rFonts w:hint="eastAsia" w:ascii="Calibri" w:hAnsi="Calibri" w:cs="Calibri"/>
                <w:kern w:val="0"/>
                <w:sz w:val="20"/>
                <w:szCs w:val="20"/>
                <w:lang w:val="en-US" w:eastAsia="zh-CN" w:bidi="ar"/>
              </w:rPr>
              <w:t>0</w:t>
            </w:r>
          </w:p>
        </w:tc>
      </w:tr>
    </w:tbl>
    <w:p w14:paraId="7AF20155">
      <w:pPr>
        <w:pStyle w:val="4"/>
        <w:spacing w:line="560" w:lineRule="exact"/>
        <w:rPr>
          <w:rFonts w:hint="eastAsia"/>
        </w:rPr>
      </w:pPr>
    </w:p>
    <w:p w14:paraId="24AC7078">
      <w:pPr>
        <w:numPr>
          <w:ilvl w:val="0"/>
          <w:numId w:val="4"/>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7CD997B5">
      <w:pPr>
        <w:pStyle w:val="5"/>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227CF6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6DF12011">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tcMar>
              <w:left w:w="57" w:type="dxa"/>
              <w:right w:w="57" w:type="dxa"/>
            </w:tcMar>
            <w:vAlign w:val="center"/>
          </w:tcPr>
          <w:p w14:paraId="56BE12F6">
            <w:pPr>
              <w:widowControl/>
              <w:spacing w:line="560" w:lineRule="exact"/>
              <w:jc w:val="center"/>
            </w:pPr>
            <w:r>
              <w:rPr>
                <w:rFonts w:hint="eastAsia" w:ascii="宋体" w:hAnsi="宋体" w:cs="宋体"/>
                <w:kern w:val="0"/>
                <w:sz w:val="20"/>
                <w:szCs w:val="20"/>
                <w:lang w:bidi="ar"/>
              </w:rPr>
              <w:t>申请人情况</w:t>
            </w:r>
          </w:p>
        </w:tc>
      </w:tr>
      <w:tr w14:paraId="2A238B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191DF032">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65037B59">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6922560B">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tcMar>
              <w:left w:w="57" w:type="dxa"/>
              <w:right w:w="57" w:type="dxa"/>
            </w:tcMar>
            <w:vAlign w:val="center"/>
          </w:tcPr>
          <w:p w14:paraId="416272FA">
            <w:pPr>
              <w:widowControl/>
              <w:spacing w:line="240" w:lineRule="atLeast"/>
              <w:jc w:val="center"/>
            </w:pPr>
            <w:r>
              <w:rPr>
                <w:rFonts w:hint="eastAsia" w:ascii="宋体" w:hAnsi="宋体" w:cs="宋体"/>
                <w:kern w:val="0"/>
                <w:sz w:val="20"/>
                <w:szCs w:val="20"/>
                <w:lang w:bidi="ar"/>
              </w:rPr>
              <w:t>总计</w:t>
            </w:r>
          </w:p>
        </w:tc>
      </w:tr>
      <w:tr w14:paraId="5CFADE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0A6F6124">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0BECA795">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06F5F0E4">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27AAB0A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1F650387">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10C39A51">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4C481A12">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0AB810B9">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20D58691">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tcMar>
              <w:left w:w="57" w:type="dxa"/>
              <w:right w:w="57" w:type="dxa"/>
            </w:tcMar>
            <w:vAlign w:val="center"/>
          </w:tcPr>
          <w:p w14:paraId="27DCD80A">
            <w:pPr>
              <w:spacing w:line="560" w:lineRule="exact"/>
              <w:rPr>
                <w:rFonts w:hint="eastAsia" w:ascii="宋体"/>
                <w:sz w:val="24"/>
              </w:rPr>
            </w:pPr>
          </w:p>
        </w:tc>
      </w:tr>
      <w:tr w14:paraId="710791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B522CAC">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5CEEF0ED">
            <w:pPr>
              <w:widowControl/>
              <w:spacing w:line="560" w:lineRule="exact"/>
              <w:jc w:val="center"/>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558FE61">
            <w:pPr>
              <w:widowControl/>
              <w:spacing w:line="560" w:lineRule="exact"/>
              <w:jc w:val="cente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1F77FD2">
            <w:pPr>
              <w:widowControl/>
              <w:spacing w:line="560" w:lineRule="exact"/>
              <w:jc w:val="center"/>
            </w:pPr>
            <w:r>
              <w:rPr>
                <w:rFonts w:hint="eastAsia" w:ascii="Calibri" w:hAnsi="Calibri" w:cs="Calibri"/>
                <w:kern w:val="0"/>
                <w:sz w:val="20"/>
                <w:szCs w:val="20"/>
                <w:lang w:val="en-US" w:eastAsia="zh-CN" w:bidi="ar"/>
              </w:rPr>
              <w:t xml:space="preserve"> 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1C16D7A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E1EDE3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B51D8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3474A08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r>
      <w:tr w14:paraId="5A8C6B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tcMar>
              <w:left w:w="57" w:type="dxa"/>
              <w:right w:w="57" w:type="dxa"/>
            </w:tcMar>
            <w:vAlign w:val="center"/>
          </w:tcPr>
          <w:p w14:paraId="7AD8C522">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17DF31E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6A9C303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AC2795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4C2A9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7A09DB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57FA90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4E2350F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8BDC0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7650E8E">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04FAED41">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3CC7EEF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22E7AE4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CA81DB4">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8F0BA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5C4677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C4F16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0288D49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7F16E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579B310F">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698F97D0">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52A7CA4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DE517C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4EA520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21215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2C6E347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C5CD8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D246BA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6577B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B5C6E20">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13901E96">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tcMar>
              <w:left w:w="57" w:type="dxa"/>
              <w:right w:w="57" w:type="dxa"/>
            </w:tcMar>
            <w:vAlign w:val="top"/>
          </w:tcPr>
          <w:p w14:paraId="5140FDDC">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5DFCCF7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D46908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B4E81C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04404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B1E483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D73EDB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tcMar>
              <w:left w:w="57" w:type="dxa"/>
              <w:right w:w="57" w:type="dxa"/>
            </w:tcMar>
            <w:vAlign w:val="top"/>
          </w:tcPr>
          <w:p w14:paraId="56B8ABD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C9ABE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1FEA26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1ECDEEB0">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556592AF">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5FB160B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4EDEFA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34A05E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BB843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A20AAA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992E2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2368034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8460D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AEE451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67EF3A4">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598BE5B0">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2EF2A44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1570BC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650DC1A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F671A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5C8B80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AF6DC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30087B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7BE4F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79DCE0F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0886313E">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58B6967B">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4D584AC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260BF96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67849C7">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F47D4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7C8CC7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BF196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1E6C1B8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8ADE8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8BCF46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5B2CB038">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28703E23">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319198B6">
            <w:pPr>
              <w:widowControl/>
              <w:spacing w:line="560" w:lineRule="exact"/>
              <w:jc w:val="center"/>
            </w:pP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14:paraId="1DD9482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10BC441C">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BF592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7CD9D3F">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B68B9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17B57517">
            <w:pPr>
              <w:widowControl/>
              <w:spacing w:line="560" w:lineRule="exact"/>
              <w:jc w:val="cente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r>
      <w:tr w14:paraId="3B1337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0F844DB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F86D5D3">
            <w:pPr>
              <w:spacing w:line="560" w:lineRule="exact"/>
              <w:rPr>
                <w:rFonts w:hint="eastAsia" w:ascii="宋体"/>
                <w:sz w:val="24"/>
              </w:rPr>
            </w:pPr>
          </w:p>
        </w:tc>
        <w:tc>
          <w:tcPr>
            <w:tcW w:w="3220" w:type="dxa"/>
            <w:tcBorders>
              <w:top w:val="nil"/>
              <w:left w:val="nil"/>
              <w:bottom w:val="single" w:color="auto" w:sz="4" w:space="0"/>
              <w:right w:val="single" w:color="auto" w:sz="8" w:space="0"/>
            </w:tcBorders>
            <w:tcMar>
              <w:left w:w="57" w:type="dxa"/>
              <w:right w:w="57" w:type="dxa"/>
            </w:tcMar>
            <w:vAlign w:val="top"/>
          </w:tcPr>
          <w:p w14:paraId="2CF72D1F">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tcMar>
              <w:left w:w="57" w:type="dxa"/>
              <w:right w:w="57" w:type="dxa"/>
            </w:tcMar>
            <w:vAlign w:val="center"/>
          </w:tcPr>
          <w:p w14:paraId="0E17D29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tcMar>
              <w:left w:w="57" w:type="dxa"/>
              <w:right w:w="57" w:type="dxa"/>
            </w:tcMar>
            <w:vAlign w:val="center"/>
          </w:tcPr>
          <w:p w14:paraId="0170FCE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tcMar>
              <w:left w:w="57" w:type="dxa"/>
              <w:right w:w="57" w:type="dxa"/>
            </w:tcMar>
            <w:vAlign w:val="center"/>
          </w:tcPr>
          <w:p w14:paraId="1DE82AB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tcMar>
              <w:left w:w="57" w:type="dxa"/>
              <w:right w:w="57" w:type="dxa"/>
            </w:tcMar>
            <w:vAlign w:val="center"/>
          </w:tcPr>
          <w:p w14:paraId="1B2A728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tcMar>
              <w:left w:w="57" w:type="dxa"/>
              <w:right w:w="57" w:type="dxa"/>
            </w:tcMar>
            <w:vAlign w:val="center"/>
          </w:tcPr>
          <w:p w14:paraId="39369BB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tcMar>
              <w:left w:w="57" w:type="dxa"/>
              <w:right w:w="57" w:type="dxa"/>
            </w:tcMar>
            <w:vAlign w:val="center"/>
          </w:tcPr>
          <w:p w14:paraId="7EA4390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4" w:space="0"/>
              <w:right w:val="single" w:color="auto" w:sz="8" w:space="0"/>
            </w:tcBorders>
            <w:tcMar>
              <w:left w:w="57" w:type="dxa"/>
              <w:right w:w="57" w:type="dxa"/>
            </w:tcMar>
            <w:vAlign w:val="top"/>
          </w:tcPr>
          <w:p w14:paraId="2EDBB1E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0896B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5A7047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tcMar>
              <w:left w:w="57" w:type="dxa"/>
              <w:right w:w="57" w:type="dxa"/>
            </w:tcMar>
            <w:vAlign w:val="center"/>
          </w:tcPr>
          <w:p w14:paraId="6240BC0E">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49D14963">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0B3609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6394E1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3FBBEEF">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131E84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A7B214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E6EDCB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4A8BB9C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96251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CE87263">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tcMar>
              <w:left w:w="57" w:type="dxa"/>
              <w:right w:w="57" w:type="dxa"/>
            </w:tcMar>
            <w:vAlign w:val="center"/>
          </w:tcPr>
          <w:p w14:paraId="63E7A2D7">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17FA7CB5">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A3CDBC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FF856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C944A3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5D358F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D6C00DE">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F981F5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111B9E1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25D14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158708F">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tcMar>
              <w:left w:w="57" w:type="dxa"/>
              <w:right w:w="57" w:type="dxa"/>
            </w:tcMar>
            <w:vAlign w:val="center"/>
          </w:tcPr>
          <w:p w14:paraId="54F8712B">
            <w:pPr>
              <w:widowControl/>
              <w:spacing w:line="560" w:lineRule="exact"/>
              <w:jc w:val="left"/>
            </w:pPr>
            <w:r>
              <w:rPr>
                <w:rFonts w:hint="eastAsia" w:ascii="宋体" w:hAnsi="宋体" w:cs="宋体"/>
                <w:kern w:val="0"/>
                <w:sz w:val="20"/>
                <w:szCs w:val="20"/>
                <w:lang w:bidi="ar"/>
              </w:rPr>
              <w:t>（四）无法提供</w:t>
            </w: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37306D40">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12329143">
            <w:pPr>
              <w:widowControl/>
              <w:spacing w:line="560" w:lineRule="exact"/>
              <w:jc w:val="center"/>
            </w:pPr>
            <w:r>
              <w:rPr>
                <w:rFonts w:hint="eastAsia" w:ascii="Calibri" w:hAnsi="Calibri" w:cs="Calibri"/>
                <w:kern w:val="0"/>
                <w:sz w:val="20"/>
                <w:szCs w:val="20"/>
                <w:lang w:val="en-US" w:eastAsia="zh-CN" w:bidi="ar"/>
              </w:rPr>
              <w:t>1</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964222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EE5F0B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9F647E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917254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2303AF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0D16906F">
            <w:pPr>
              <w:widowControl/>
              <w:spacing w:line="560" w:lineRule="exact"/>
              <w:jc w:val="center"/>
            </w:pPr>
            <w:r>
              <w:rPr>
                <w:rFonts w:hint="eastAsia" w:ascii="Calibri" w:hAnsi="Calibri" w:cs="Calibri"/>
                <w:kern w:val="0"/>
                <w:sz w:val="20"/>
                <w:szCs w:val="20"/>
                <w:lang w:val="en-US" w:eastAsia="zh-CN" w:bidi="ar"/>
              </w:rPr>
              <w:t>1</w:t>
            </w:r>
          </w:p>
        </w:tc>
      </w:tr>
      <w:tr w14:paraId="4E495B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51F8747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tcMar>
              <w:left w:w="57" w:type="dxa"/>
              <w:right w:w="57" w:type="dxa"/>
            </w:tcMar>
            <w:vAlign w:val="center"/>
          </w:tcPr>
          <w:p w14:paraId="10C50382">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3C4D3C29">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7ADA07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F1338A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40634B1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8A78554">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05C4FA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0D29DEC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tcMar>
              <w:left w:w="57" w:type="dxa"/>
              <w:right w:w="57" w:type="dxa"/>
            </w:tcMar>
            <w:vAlign w:val="top"/>
          </w:tcPr>
          <w:p w14:paraId="3CC5012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CE15A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6ACBDA0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07570487">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tcMar>
              <w:left w:w="57" w:type="dxa"/>
              <w:right w:w="57" w:type="dxa"/>
            </w:tcMar>
            <w:vAlign w:val="top"/>
          </w:tcPr>
          <w:p w14:paraId="38157076">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45AE2F5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2B8D2B6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4108E31A">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1C9996E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5B728B0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tcMar>
              <w:left w:w="57" w:type="dxa"/>
              <w:right w:w="57" w:type="dxa"/>
            </w:tcMar>
            <w:vAlign w:val="center"/>
          </w:tcPr>
          <w:p w14:paraId="01161C0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nil"/>
              <w:bottom w:val="single" w:color="auto" w:sz="8" w:space="0"/>
              <w:right w:val="single" w:color="auto" w:sz="8" w:space="0"/>
            </w:tcBorders>
            <w:tcMar>
              <w:left w:w="57" w:type="dxa"/>
              <w:right w:w="57" w:type="dxa"/>
            </w:tcMar>
            <w:vAlign w:val="top"/>
          </w:tcPr>
          <w:p w14:paraId="3981C57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DA867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4D89B7C">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4EF41B7">
            <w:pPr>
              <w:widowControl/>
              <w:adjustRightInd w:val="0"/>
              <w:snapToGrid w:val="0"/>
              <w:spacing w:line="240" w:lineRule="atLeas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tcMar>
              <w:left w:w="57" w:type="dxa"/>
              <w:right w:w="57" w:type="dxa"/>
            </w:tcMar>
            <w:vAlign w:val="top"/>
          </w:tcPr>
          <w:p w14:paraId="7B55E6AA">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22A0494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41A068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D86AE8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E783C6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1A24D5E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5CAD9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56D5C28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B373B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DE486DA">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196B5491">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67D3DCA4">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049F1D6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4DD643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61C09E75">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1EA767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B32A661">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A317F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8553C0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C3931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FAEAA7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8A64DA9">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1C52893C">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231EA49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5A5A53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41F3019">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C51CEC">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BCA454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5BB815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7B960CF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C4FEA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C0A59D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915BE67">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top"/>
          </w:tcPr>
          <w:p w14:paraId="6AC3CE1F">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51E03D0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A7CEBB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ECF3F7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B8B18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224F775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FA56F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5FBE1E3D">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C85CE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0FF768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0AC67CB">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06AC13A5">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E0EFD2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68F4BA3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D829F62">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A95E46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00871C83">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5F6649F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0" w:space="0"/>
              <w:left w:val="single" w:color="auto" w:sz="0" w:space="0"/>
              <w:bottom w:val="outset" w:color="auto" w:sz="8" w:space="0"/>
              <w:right w:val="single" w:color="auto" w:sz="8" w:space="0"/>
            </w:tcBorders>
            <w:tcMar>
              <w:left w:w="57" w:type="dxa"/>
              <w:right w:w="57" w:type="dxa"/>
            </w:tcMar>
            <w:vAlign w:val="top"/>
          </w:tcPr>
          <w:p w14:paraId="736235F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3BF0A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06A64CC6">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tcMar>
              <w:left w:w="57" w:type="dxa"/>
              <w:right w:w="57" w:type="dxa"/>
            </w:tcMar>
            <w:vAlign w:val="center"/>
          </w:tcPr>
          <w:p w14:paraId="6CD5D86C">
            <w:pPr>
              <w:widowControl/>
              <w:adjustRightInd w:val="0"/>
              <w:snapToGrid w:val="0"/>
              <w:spacing w:line="240" w:lineRule="atLeas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tcMar>
              <w:left w:w="57" w:type="dxa"/>
              <w:right w:w="57" w:type="dxa"/>
            </w:tcMar>
            <w:vAlign w:val="center"/>
          </w:tcPr>
          <w:p w14:paraId="47DB3D9E">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43F7C0F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18E30780">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6A94EF48">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45B21E">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EE3698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FC17E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409570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32BB1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41DF05E">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tcMar>
              <w:left w:w="57" w:type="dxa"/>
              <w:right w:w="57" w:type="dxa"/>
            </w:tcMar>
            <w:vAlign w:val="center"/>
          </w:tcPr>
          <w:p w14:paraId="5FACB669">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center"/>
          </w:tcPr>
          <w:p w14:paraId="34F8F4FC">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7B55558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3C7ACC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A921D7D">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13C1E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B31A1C4">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15B6A6">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338D0A75">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5903A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34C58A9">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tcMar>
              <w:left w:w="57" w:type="dxa"/>
              <w:right w:w="57" w:type="dxa"/>
            </w:tcMar>
            <w:vAlign w:val="center"/>
          </w:tcPr>
          <w:p w14:paraId="3772B903">
            <w:pPr>
              <w:spacing w:line="560" w:lineRule="exact"/>
              <w:rPr>
                <w:rFonts w:hint="eastAsia" w:ascii="宋体"/>
                <w:sz w:val="24"/>
              </w:rPr>
            </w:pPr>
          </w:p>
        </w:tc>
        <w:tc>
          <w:tcPr>
            <w:tcW w:w="3220" w:type="dxa"/>
            <w:tcBorders>
              <w:top w:val="nil"/>
              <w:left w:val="nil"/>
              <w:bottom w:val="single" w:color="auto" w:sz="8" w:space="0"/>
              <w:right w:val="single" w:color="auto" w:sz="8" w:space="0"/>
            </w:tcBorders>
            <w:tcMar>
              <w:left w:w="57" w:type="dxa"/>
              <w:right w:w="57" w:type="dxa"/>
            </w:tcMar>
            <w:vAlign w:val="center"/>
          </w:tcPr>
          <w:p w14:paraId="34842666">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4F445DB1">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5FAFDF9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3F4615F4">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D32AF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07AFCBE6">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DA18BA">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761A956B">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14A30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0D5258CD">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4EECC9DC">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151F77A7">
            <w:pPr>
              <w:widowControl/>
              <w:spacing w:line="560" w:lineRule="exact"/>
              <w:jc w:val="cente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14:paraId="785E9C93">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7028D0DB">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322468">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tcMar>
              <w:left w:w="57" w:type="dxa"/>
              <w:right w:w="57" w:type="dxa"/>
            </w:tcMar>
            <w:vAlign w:val="center"/>
          </w:tcPr>
          <w:p w14:paraId="42CBD870">
            <w:pPr>
              <w:widowControl/>
              <w:spacing w:line="560" w:lineRule="exact"/>
              <w:jc w:val="cente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A2D12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tcMar>
              <w:left w:w="57" w:type="dxa"/>
              <w:right w:w="57" w:type="dxa"/>
            </w:tcMar>
            <w:vAlign w:val="top"/>
          </w:tcPr>
          <w:p w14:paraId="005E0FFD">
            <w:pPr>
              <w:widowControl/>
              <w:spacing w:line="560" w:lineRule="exact"/>
              <w:jc w:val="center"/>
            </w:pPr>
            <w:r>
              <w:rPr>
                <w:rFonts w:hint="eastAsia" w:ascii="Calibri" w:hAnsi="Calibri" w:cs="Calibri"/>
                <w:kern w:val="0"/>
                <w:sz w:val="20"/>
                <w:szCs w:val="20"/>
                <w:lang w:val="en-US" w:eastAsia="zh-CN" w:bidi="ar"/>
              </w:rPr>
              <w:t>2</w:t>
            </w:r>
          </w:p>
        </w:tc>
      </w:tr>
      <w:tr w14:paraId="6D688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tcMar>
              <w:left w:w="57" w:type="dxa"/>
              <w:right w:w="57" w:type="dxa"/>
            </w:tcMar>
            <w:vAlign w:val="center"/>
          </w:tcPr>
          <w:p w14:paraId="618AEE00">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vAlign w:val="center"/>
          </w:tcPr>
          <w:p w14:paraId="1BE85DF8">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outset" w:color="auto" w:sz="6" w:space="0"/>
              <w:left w:val="single" w:color="auto" w:sz="0" w:space="0"/>
              <w:bottom w:val="outset" w:color="auto" w:sz="6" w:space="0"/>
              <w:right w:val="outset" w:color="auto" w:sz="6" w:space="0"/>
            </w:tcBorders>
            <w:vAlign w:val="center"/>
          </w:tcPr>
          <w:p w14:paraId="36BE2BD1">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outset" w:color="auto" w:sz="6" w:space="0"/>
              <w:left w:val="single" w:color="auto" w:sz="0" w:space="0"/>
              <w:bottom w:val="outset" w:color="auto" w:sz="6" w:space="0"/>
              <w:right w:val="outset" w:color="auto" w:sz="6" w:space="0"/>
            </w:tcBorders>
            <w:vAlign w:val="center"/>
          </w:tcPr>
          <w:p w14:paraId="6461E6E0">
            <w:pPr>
              <w:widowControl/>
              <w:spacing w:line="560" w:lineRule="exact"/>
              <w:jc w:val="center"/>
              <w:rPr>
                <w:rFonts w:hint="eastAsia" w:ascii="宋体"/>
                <w:sz w:val="24"/>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vAlign w:val="center"/>
          </w:tcPr>
          <w:p w14:paraId="0E9E8B46">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outset" w:color="auto" w:sz="6" w:space="0"/>
              <w:left w:val="single" w:color="auto" w:sz="0" w:space="0"/>
              <w:bottom w:val="outset" w:color="auto" w:sz="6" w:space="0"/>
              <w:right w:val="outset" w:color="auto" w:sz="6" w:space="0"/>
            </w:tcBorders>
            <w:vAlign w:val="center"/>
          </w:tcPr>
          <w:p w14:paraId="06679BB4">
            <w:pPr>
              <w:widowControl/>
              <w:spacing w:line="560" w:lineRule="exact"/>
              <w:jc w:val="center"/>
              <w:rPr>
                <w:rFonts w:hint="eastAsia" w:ascii="宋体"/>
                <w:sz w:val="24"/>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vAlign w:val="center"/>
          </w:tcPr>
          <w:p w14:paraId="55D2AD6F">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outset" w:color="auto" w:sz="6" w:space="0"/>
              <w:left w:val="single" w:color="auto" w:sz="0" w:space="0"/>
              <w:bottom w:val="outset" w:color="auto" w:sz="6" w:space="0"/>
              <w:right w:val="outset" w:color="auto" w:sz="6" w:space="0"/>
            </w:tcBorders>
            <w:vAlign w:val="top"/>
          </w:tcPr>
          <w:p w14:paraId="3B5E871B">
            <w:pPr>
              <w:widowControl/>
              <w:spacing w:line="560" w:lineRule="exact"/>
              <w:jc w:val="center"/>
              <w:rPr>
                <w:rFonts w:hint="eastAsia" w:ascii="宋体"/>
                <w:sz w:val="24"/>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bl>
    <w:p w14:paraId="65654773">
      <w:pPr>
        <w:pStyle w:val="4"/>
        <w:spacing w:line="560" w:lineRule="exact"/>
        <w:ind w:left="420" w:leftChars="200"/>
        <w:rPr>
          <w:rFonts w:hint="eastAsia"/>
        </w:rPr>
      </w:pPr>
    </w:p>
    <w:p w14:paraId="60A12DD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7E8C20C7">
      <w:pPr>
        <w:widowControl/>
        <w:spacing w:line="560" w:lineRule="exact"/>
        <w:jc w:val="cente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2DD77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090C416">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332401">
            <w:pPr>
              <w:widowControl/>
              <w:spacing w:line="560" w:lineRule="exact"/>
              <w:jc w:val="center"/>
            </w:pPr>
            <w:r>
              <w:rPr>
                <w:rFonts w:hint="eastAsia" w:ascii="宋体" w:hAnsi="宋体" w:cs="宋体"/>
                <w:kern w:val="0"/>
                <w:sz w:val="20"/>
                <w:szCs w:val="20"/>
                <w:lang w:bidi="ar"/>
              </w:rPr>
              <w:t>行政诉讼</w:t>
            </w:r>
          </w:p>
        </w:tc>
      </w:tr>
      <w:tr w14:paraId="065789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3E97058">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5E195C0C">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5711C0B">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C985346">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0A9C72">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E89D4F1">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A5906AB">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338546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619529F2">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5F6C4314">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4F0A24">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2F9DB7B">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83920C5">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96E910A">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026329FB">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234D643">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683C3D4">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0919D86">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B1657E">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14B4450">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8529B2B">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789005B">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1DFBFE2">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0858AB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792F8DA2">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E0E785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530CFF2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27C6FB3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1 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085249B">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2 </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6EA6154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14:paraId="40D0FFB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6B83C15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36ACFD5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14:paraId="4AB4D22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120AC23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A3D9969">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3C2DAD6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6BCF38A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14:paraId="59F501B3">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r>
    </w:tbl>
    <w:p w14:paraId="48508E23">
      <w:pPr>
        <w:widowControl/>
        <w:spacing w:line="560" w:lineRule="exact"/>
        <w:jc w:val="left"/>
      </w:pPr>
    </w:p>
    <w:p w14:paraId="53833F93">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38702059">
      <w:pPr>
        <w:widowControl/>
        <w:numPr>
          <w:ilvl w:val="0"/>
          <w:numId w:val="0"/>
        </w:numPr>
        <w:spacing w:line="560" w:lineRule="exact"/>
        <w:ind w:firstLine="640" w:firstLineChars="200"/>
        <w:jc w:val="left"/>
        <w:rPr>
          <w:rFonts w:hint="eastAsia"/>
          <w:lang w:val="en-US" w:eastAsia="zh-CN"/>
        </w:rPr>
      </w:pPr>
      <w:r>
        <w:rPr>
          <w:rFonts w:hint="eastAsia" w:ascii="仿宋_GB2312" w:hAnsi="仿宋_GB2312" w:eastAsia="仿宋_GB2312" w:cs="仿宋_GB2312"/>
          <w:color w:val="000000"/>
          <w:sz w:val="32"/>
          <w:szCs w:val="32"/>
          <w:lang w:val="en-US" w:eastAsia="zh-CN"/>
        </w:rPr>
        <w:t>2025年度，我局较好的完成了政府信息公开各项工作，但还存在一些不足之处，信息公开各平台存在更新不同步情况。通过综合办公室牵头，协调各平台，明确更新信息类型及时限，实现了门户网站、政务新媒体内容同步更新。</w:t>
      </w:r>
    </w:p>
    <w:p w14:paraId="2DC2D84A">
      <w:pPr>
        <w:widowControl/>
        <w:numPr>
          <w:ilvl w:val="0"/>
          <w:numId w:val="0"/>
        </w:numPr>
        <w:spacing w:line="560" w:lineRule="exact"/>
        <w:ind w:left="638" w:leftChars="304" w:firstLine="0" w:firstLineChars="0"/>
        <w:jc w:val="left"/>
        <w:rPr>
          <w:rFonts w:hint="eastAsia" w:ascii="仿宋_GB2312" w:hAnsi="仿宋_GB2312" w:eastAsia="仿宋_GB2312" w:cs="仿宋_GB2312"/>
          <w:spacing w:val="8"/>
          <w:kern w:val="0"/>
          <w:sz w:val="32"/>
          <w:szCs w:val="32"/>
        </w:rPr>
      </w:pPr>
      <w:r>
        <w:rPr>
          <w:rFonts w:hint="eastAsia" w:ascii="黑体" w:hAnsi="黑体" w:eastAsia="黑体" w:cs="宋体"/>
          <w:spacing w:val="8"/>
          <w:kern w:val="0"/>
          <w:sz w:val="32"/>
          <w:szCs w:val="32"/>
          <w:lang w:eastAsia="zh-CN"/>
        </w:rPr>
        <w:t>六、</w:t>
      </w:r>
      <w:r>
        <w:rPr>
          <w:rFonts w:ascii="黑体" w:hAnsi="黑体" w:eastAsia="黑体" w:cs="宋体"/>
          <w:spacing w:val="8"/>
          <w:kern w:val="0"/>
          <w:sz w:val="32"/>
          <w:szCs w:val="32"/>
        </w:rPr>
        <w:t>其他需要报告的事项</w:t>
      </w:r>
    </w:p>
    <w:p w14:paraId="439FCAA9">
      <w:pPr>
        <w:widowControl/>
        <w:numPr>
          <w:ilvl w:val="0"/>
          <w:numId w:val="0"/>
        </w:numPr>
        <w:spacing w:line="560" w:lineRule="exact"/>
        <w:ind w:firstLine="672" w:firstLineChars="200"/>
        <w:jc w:val="left"/>
        <w:rPr>
          <w:rFonts w:hint="eastAsia" w:ascii="仿宋_GB2312" w:hAnsi="仿宋_GB2312" w:eastAsia="仿宋_GB2312" w:cs="仿宋_GB2312"/>
          <w:spacing w:val="8"/>
          <w:kern w:val="0"/>
          <w:sz w:val="32"/>
          <w:szCs w:val="32"/>
        </w:rPr>
      </w:pPr>
      <w:r>
        <w:rPr>
          <w:rFonts w:hint="eastAsia" w:ascii="仿宋_GB2312" w:hAnsi="仿宋_GB2312" w:eastAsia="仿宋_GB2312" w:cs="仿宋_GB2312"/>
          <w:spacing w:val="8"/>
          <w:kern w:val="0"/>
          <w:sz w:val="32"/>
          <w:szCs w:val="32"/>
        </w:rPr>
        <w:t>我单位本年度发出收费通知的件数和总金额以及实际收取的总金额均为0。</w:t>
      </w:r>
    </w:p>
    <w:p w14:paraId="44311C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430757-935F-49B4-A694-C6B01DF257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82B439F-BE7C-44B1-A1A0-15AF664A8181}"/>
  </w:font>
  <w:font w:name="楷体_GB2312">
    <w:panose1 w:val="02010609030101010101"/>
    <w:charset w:val="86"/>
    <w:family w:val="modern"/>
    <w:pitch w:val="default"/>
    <w:sig w:usb0="00000001" w:usb1="080E0000" w:usb2="00000000" w:usb3="00000000" w:csb0="00040000" w:csb1="00000000"/>
    <w:embedRegular r:id="rId3" w:fontKey="{70E56E20-92D9-4E59-B744-9C25220EBC8B}"/>
  </w:font>
  <w:font w:name="方正小标宋简体">
    <w:panose1 w:val="03000509000000000000"/>
    <w:charset w:val="86"/>
    <w:family w:val="auto"/>
    <w:pitch w:val="default"/>
    <w:sig w:usb0="00000001" w:usb1="080E0000" w:usb2="00000000" w:usb3="00000000" w:csb0="00040000" w:csb1="00000000"/>
    <w:embedRegular r:id="rId4" w:fontKey="{A5263E94-DF8E-429D-86DC-50A39BA4EDC3}"/>
  </w:font>
  <w:font w:name="微软雅黑">
    <w:panose1 w:val="020B0503020204020204"/>
    <w:charset w:val="86"/>
    <w:family w:val="swiss"/>
    <w:pitch w:val="default"/>
    <w:sig w:usb0="80000287" w:usb1="2ACF3C50" w:usb2="00000016" w:usb3="00000000" w:csb0="0004001F" w:csb1="00000000"/>
    <w:embedRegular r:id="rId5" w:fontKey="{FB906116-408E-405A-8D5B-F2F573363D98}"/>
  </w:font>
  <w:font w:name="仿宋_GB2312">
    <w:panose1 w:val="02010609030101010101"/>
    <w:charset w:val="86"/>
    <w:family w:val="modern"/>
    <w:pitch w:val="default"/>
    <w:sig w:usb0="00000001" w:usb1="080E0000" w:usb2="00000000" w:usb3="00000000" w:csb0="00040000" w:csb1="00000000"/>
    <w:embedRegular r:id="rId6" w:fontKey="{E1FE9150-8BD2-49AB-995A-2430C1CA8EFB}"/>
  </w:font>
  <w:font w:name="楷体">
    <w:panose1 w:val="02010609060101010101"/>
    <w:charset w:val="86"/>
    <w:family w:val="modern"/>
    <w:pitch w:val="default"/>
    <w:sig w:usb0="800002BF" w:usb1="38CF7CFA" w:usb2="00000016" w:usb3="00000000" w:csb0="00040001" w:csb1="00000000"/>
    <w:embedRegular r:id="rId7" w:fontKey="{6BF3642E-E542-471E-AB53-3BF4820DBC4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abstractNum w:abstractNumId="1">
    <w:nsid w:val="67863D22"/>
    <w:multiLevelType w:val="singleLevel"/>
    <w:tmpl w:val="67863D22"/>
    <w:lvl w:ilvl="0" w:tentative="0">
      <w:start w:val="4"/>
      <w:numFmt w:val="chineseCounting"/>
      <w:suff w:val="nothing"/>
      <w:lvlText w:val="（%1）"/>
      <w:lvlJc w:val="left"/>
    </w:lvl>
  </w:abstractNum>
  <w:abstractNum w:abstractNumId="2">
    <w:nsid w:val="67863D42"/>
    <w:multiLevelType w:val="singleLevel"/>
    <w:tmpl w:val="67863D42"/>
    <w:lvl w:ilvl="0" w:tentative="0">
      <w:start w:val="7"/>
      <w:numFmt w:val="chineseCounting"/>
      <w:suff w:val="nothing"/>
      <w:lvlText w:val="（%1）"/>
      <w:lvlJc w:val="left"/>
    </w:lvl>
  </w:abstractNum>
  <w:abstractNum w:abstractNumId="3">
    <w:nsid w:val="67876F81"/>
    <w:multiLevelType w:val="singleLevel"/>
    <w:tmpl w:val="67876F81"/>
    <w:lvl w:ilvl="0" w:tentative="0">
      <w:start w:val="2"/>
      <w:numFmt w:val="chineseCounting"/>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0551D"/>
    <w:rsid w:val="02670FF6"/>
    <w:rsid w:val="06606C84"/>
    <w:rsid w:val="092F6A4A"/>
    <w:rsid w:val="12D74FC6"/>
    <w:rsid w:val="14192F1A"/>
    <w:rsid w:val="198059AA"/>
    <w:rsid w:val="1EC90D86"/>
    <w:rsid w:val="1FA15E62"/>
    <w:rsid w:val="2DBD1B92"/>
    <w:rsid w:val="2DD0551D"/>
    <w:rsid w:val="35F34394"/>
    <w:rsid w:val="379F2DD9"/>
    <w:rsid w:val="445B0307"/>
    <w:rsid w:val="46E572AE"/>
    <w:rsid w:val="4C673D22"/>
    <w:rsid w:val="5A33117F"/>
    <w:rsid w:val="5ED20D87"/>
    <w:rsid w:val="6DD03E3C"/>
    <w:rsid w:val="725B1CA4"/>
    <w:rsid w:val="771316A4"/>
    <w:rsid w:val="7B516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after="0" w:line="360" w:lineRule="auto"/>
      <w:ind w:left="0" w:leftChars="0" w:firstLine="420" w:firstLineChars="200"/>
      <w:jc w:val="both"/>
    </w:pPr>
    <w:rPr>
      <w:rFonts w:ascii="楷体_GB2312" w:hAnsi="Calibri" w:eastAsia="楷体_GB2312" w:cs="楷体_GB2312"/>
      <w:kern w:val="2"/>
      <w:sz w:val="36"/>
      <w:szCs w:val="36"/>
      <w:lang w:val="en-US" w:eastAsia="zh-CN" w:bidi="ar-SA"/>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2108</Words>
  <Characters>2156</Characters>
  <Lines>0</Lines>
  <Paragraphs>0</Paragraphs>
  <TotalTime>6</TotalTime>
  <ScaleCrop>false</ScaleCrop>
  <LinksUpToDate>false</LinksUpToDate>
  <CharactersWithSpaces>2343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2026-01-06T01:55:00Z</dcterms:created>
  <dc:creator>文旅局公文</dc:creator>
  <cp:lastModifiedBy>王亚楠</cp:lastModifiedBy>
  <cp:lastPrinted>2026-01-13T03:14:00Z</cp:lastPrinted>
  <dcterms:modified xsi:type="dcterms:W3CDTF">2026-01-26T09:37:49Z</dcterms:modified>
  <dc:title>北京市大兴区文化和旅游局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eyJoZGlkIjoiZWFmODEzMjhjYzAyOGQ2M2M1OWQ1ODAyZTg4N2UwN2UiLCJ1c2VySWQiOiIxNjE1MzA0NDk4In0=</vt:lpwstr>
  </property>
  <property fmtid="{D5CDD505-2E9C-101B-9397-08002B2CF9AE}" pid="4" name="ICV">
    <vt:lpwstr>65B2D9A1EA8A46E79AC8C24802111EB9_12</vt:lpwstr>
  </property>
</Properties>
</file>