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C29C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北京市大兴区住房和城乡建设委员会</w:t>
      </w:r>
      <w:bookmarkEnd w:id="0"/>
    </w:p>
    <w:p w14:paraId="5F8FA61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235453B0">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0BDAFDB3">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3D34F6E9">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2A9EA8E2">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1.组织领导情况。2025年，我委政府信息公开工作持续稳步推进。由单位副主任全面统筹，行政办公室牵头落实，以《政府信息公开条例》为纲，《政府信息公开工作管理制度》为规范，全面保障政府信息公开工作的有序推进。</w:t>
      </w:r>
    </w:p>
    <w:p w14:paraId="5E7A175D">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2.主动公开情况。全面保障重点领域政府信息公开工作的落实。2025年，在政府采购领域公开信息182条，保障性住房领域120条，重点民生实事领域70条。</w:t>
      </w:r>
    </w:p>
    <w:p w14:paraId="41ADF2A7">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3.依申请公开情况。2025年，共计受理依申请公开214件，涉及工程建设领域101件，物业管理领域57件，拆迁领域41件，房地产监管领域32件，行政执法领域10件。</w:t>
      </w:r>
    </w:p>
    <w:p w14:paraId="5EDA8681">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4.政府信息管理情况。完善政府信息公开保密审查流程，做到逐步审批，逐级审批。从文件制发之初即对公开属性进行标注，进行分类管理。文件的最终发布，由科室负责人、主管领导签署《保密审查单》，行政办公室最终审核后发布。文件发布后，定期开展有效性审核，2025年，分三批对政策性文件进行了梳理，清理失效文件150余件。</w:t>
      </w:r>
    </w:p>
    <w:p w14:paraId="684803A7">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5.</w:t>
      </w:r>
      <w:r>
        <w:rPr>
          <w:rFonts w:hint="eastAsia" w:ascii="仿宋_GB2312" w:hAnsi="仿宋_GB2312" w:eastAsia="仿宋_GB2312" w:cs="仿宋_GB2312"/>
          <w:sz w:val="32"/>
          <w:szCs w:val="32"/>
          <w:lang w:val="en-US" w:eastAsia="zh-CN"/>
        </w:rPr>
        <w:t>政府信息公开平台建设情况。</w:t>
      </w:r>
      <w:r>
        <w:rPr>
          <w:rFonts w:hint="eastAsia" w:ascii="仿宋_GB2312" w:hAnsi="宋体" w:eastAsia="仿宋_GB2312" w:cs="宋体"/>
          <w:spacing w:val="8"/>
          <w:kern w:val="0"/>
          <w:sz w:val="32"/>
          <w:szCs w:val="32"/>
          <w:lang w:val="en-US" w:eastAsia="zh-CN"/>
        </w:rPr>
        <w:t>持续深耕新媒体平台建设，聚焦夯实运营基础、提升服务质效、强化传播实效，通过一系列精细化举措，稳步提升平台影响力与政务服务能力，助力住建领域政务公开与民生服务工作扎实推进。</w:t>
      </w:r>
    </w:p>
    <w:p w14:paraId="21423224">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6.教育培训情况。组织学习政府信息公开行政复议和行政诉讼案例分析，进一步提升工作人员办理依申请公开的业务水平，规避常见问题，保障公开依法依规。</w:t>
      </w:r>
    </w:p>
    <w:p w14:paraId="29DD4C16">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7.监督保障情况。加强内部自查管理，从业务科室到牵头科室，从科室负责人到主管领导，逐步、逐级进行监督，实现常态化、全覆盖监督。</w:t>
      </w:r>
    </w:p>
    <w:p w14:paraId="42A3A6A5">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35262DE0">
      <w:pPr>
        <w:pStyle w:val="2"/>
        <w:spacing w:line="560" w:lineRule="exact"/>
        <w:rPr>
          <w:rFonts w:hint="eastAsia"/>
        </w:rPr>
      </w:pPr>
    </w:p>
    <w:tbl>
      <w:tblPr>
        <w:tblStyle w:val="4"/>
        <w:tblW w:w="0" w:type="auto"/>
        <w:jc w:val="center"/>
        <w:tblLayout w:type="fixed"/>
        <w:tblCellMar>
          <w:top w:w="0" w:type="dxa"/>
          <w:left w:w="0" w:type="dxa"/>
          <w:bottom w:w="0" w:type="dxa"/>
          <w:right w:w="0" w:type="dxa"/>
        </w:tblCellMar>
      </w:tblPr>
      <w:tblGrid>
        <w:gridCol w:w="2435"/>
        <w:gridCol w:w="2435"/>
        <w:gridCol w:w="2435"/>
        <w:gridCol w:w="2435"/>
      </w:tblGrid>
      <w:tr w14:paraId="6F1C0FDF">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7BB5877">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1AFB433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BFA0408">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4F2EEEA">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515EBB43">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5A9119FA">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1D799E9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8B7E52B">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C188A1F">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9086450">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975BF94">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r>
      <w:tr w14:paraId="5BE434E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0BE2831">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5FC5F33">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6C737E8">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564DA3F">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7</w:t>
            </w:r>
          </w:p>
        </w:tc>
      </w:tr>
      <w:tr w14:paraId="13D78BF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493DEF83">
            <w:pPr>
              <w:widowControl/>
              <w:spacing w:line="560" w:lineRule="exact"/>
              <w:jc w:val="center"/>
            </w:pPr>
            <w:r>
              <w:rPr>
                <w:rFonts w:hint="eastAsia" w:ascii="宋体" w:hAnsi="宋体" w:cs="宋体"/>
                <w:color w:val="000000"/>
                <w:kern w:val="0"/>
                <w:sz w:val="20"/>
                <w:szCs w:val="20"/>
                <w:lang w:bidi="ar"/>
              </w:rPr>
              <w:t>第二十条第（五）项</w:t>
            </w:r>
          </w:p>
        </w:tc>
      </w:tr>
      <w:tr w14:paraId="369C816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560E811">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5BEEC83">
            <w:pPr>
              <w:widowControl/>
              <w:spacing w:line="560" w:lineRule="exact"/>
              <w:jc w:val="center"/>
            </w:pPr>
            <w:r>
              <w:rPr>
                <w:rFonts w:hint="eastAsia" w:ascii="宋体" w:hAnsi="宋体" w:cs="宋体"/>
                <w:color w:val="000000"/>
                <w:kern w:val="0"/>
                <w:sz w:val="20"/>
                <w:szCs w:val="20"/>
                <w:lang w:bidi="ar"/>
              </w:rPr>
              <w:t>本年处理决定数量</w:t>
            </w:r>
          </w:p>
        </w:tc>
      </w:tr>
      <w:tr w14:paraId="31BF22A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9C1467A">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5C3CB7E">
            <w:pPr>
              <w:widowControl/>
              <w:spacing w:line="560" w:lineRule="exact"/>
              <w:jc w:val="center"/>
              <w:rPr>
                <w:rFonts w:hint="default" w:eastAsia="宋体"/>
                <w:lang w:val="en-US" w:eastAsia="zh-CN"/>
              </w:rPr>
            </w:pPr>
            <w:r>
              <w:rPr>
                <w:rFonts w:hint="eastAsia" w:ascii="Calibri" w:hAnsi="Calibri" w:cs="Calibri"/>
                <w:kern w:val="0"/>
                <w:szCs w:val="21"/>
                <w:lang w:val="en-US" w:eastAsia="zh-CN" w:bidi="ar"/>
              </w:rPr>
              <w:t>238</w:t>
            </w:r>
          </w:p>
        </w:tc>
      </w:tr>
      <w:tr w14:paraId="7E313E88">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07C62FD9">
            <w:pPr>
              <w:widowControl/>
              <w:spacing w:line="560" w:lineRule="exact"/>
              <w:jc w:val="center"/>
            </w:pPr>
            <w:r>
              <w:rPr>
                <w:rFonts w:hint="eastAsia" w:ascii="宋体" w:hAnsi="宋体" w:cs="宋体"/>
                <w:color w:val="000000"/>
                <w:kern w:val="0"/>
                <w:sz w:val="20"/>
                <w:szCs w:val="20"/>
                <w:lang w:bidi="ar"/>
              </w:rPr>
              <w:t>第二十条第（六）项</w:t>
            </w:r>
          </w:p>
        </w:tc>
      </w:tr>
      <w:tr w14:paraId="3A0FE3D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C1C6C57">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063C8FAB">
            <w:pPr>
              <w:widowControl/>
              <w:spacing w:line="560" w:lineRule="exact"/>
              <w:jc w:val="center"/>
            </w:pPr>
            <w:r>
              <w:rPr>
                <w:rFonts w:hint="eastAsia" w:ascii="宋体" w:hAnsi="宋体" w:cs="宋体"/>
                <w:color w:val="000000"/>
                <w:kern w:val="0"/>
                <w:sz w:val="20"/>
                <w:szCs w:val="20"/>
                <w:lang w:bidi="ar"/>
              </w:rPr>
              <w:t>本年处理决定数量</w:t>
            </w:r>
          </w:p>
        </w:tc>
      </w:tr>
      <w:tr w14:paraId="5EA3759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7BE0740">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4746558">
            <w:pPr>
              <w:widowControl/>
              <w:spacing w:line="560" w:lineRule="exact"/>
              <w:jc w:val="center"/>
              <w:rPr>
                <w:rFonts w:hint="default" w:eastAsia="宋体"/>
                <w:lang w:val="en-US" w:eastAsia="zh-CN"/>
              </w:rPr>
            </w:pPr>
            <w:r>
              <w:rPr>
                <w:rFonts w:hint="eastAsia" w:ascii="Calibri" w:hAnsi="Calibri" w:cs="Calibri"/>
                <w:kern w:val="0"/>
                <w:szCs w:val="21"/>
                <w:lang w:val="en-US" w:eastAsia="zh-CN" w:bidi="ar"/>
              </w:rPr>
              <w:t>66</w:t>
            </w:r>
          </w:p>
        </w:tc>
      </w:tr>
      <w:tr w14:paraId="7043A08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1DB54ADF">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6D081F8D">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0F21C66A">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29BD7B">
            <w:pPr>
              <w:widowControl/>
              <w:spacing w:line="560" w:lineRule="exact"/>
              <w:jc w:val="center"/>
            </w:pPr>
            <w:r>
              <w:rPr>
                <w:rFonts w:hint="eastAsia" w:ascii="宋体" w:hAnsi="宋体" w:cs="宋体"/>
                <w:color w:val="000000"/>
                <w:kern w:val="0"/>
                <w:sz w:val="20"/>
                <w:szCs w:val="20"/>
                <w:lang w:bidi="ar"/>
              </w:rPr>
              <w:t>第二十条第（八）项</w:t>
            </w:r>
          </w:p>
        </w:tc>
      </w:tr>
      <w:tr w14:paraId="7F1D00CF">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0C98AA">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F34141">
            <w:pPr>
              <w:widowControl/>
              <w:spacing w:line="560" w:lineRule="exact"/>
              <w:jc w:val="center"/>
            </w:pPr>
            <w:r>
              <w:rPr>
                <w:rFonts w:hint="eastAsia" w:ascii="宋体" w:hAnsi="宋体" w:cs="宋体"/>
                <w:color w:val="000000"/>
                <w:kern w:val="0"/>
                <w:sz w:val="20"/>
                <w:szCs w:val="20"/>
                <w:lang w:bidi="ar"/>
              </w:rPr>
              <w:t>本年收费金额（单位：万元）</w:t>
            </w:r>
          </w:p>
        </w:tc>
      </w:tr>
      <w:tr w14:paraId="619B8200">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A4FC44">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3A2FFB">
            <w:pPr>
              <w:widowControl/>
              <w:spacing w:line="560" w:lineRule="exact"/>
              <w:jc w:val="center"/>
              <w:rPr>
                <w:rFonts w:hint="eastAsia" w:ascii="宋体" w:eastAsia="宋体"/>
                <w:sz w:val="24"/>
                <w:lang w:val="en-US" w:eastAsia="zh-CN"/>
              </w:rPr>
            </w:pPr>
            <w:r>
              <w:rPr>
                <w:rFonts w:hint="eastAsia" w:ascii="Calibri" w:hAnsi="Calibri" w:cs="Calibri"/>
                <w:kern w:val="0"/>
                <w:szCs w:val="21"/>
                <w:lang w:val="en-US" w:eastAsia="zh-CN" w:bidi="ar"/>
              </w:rPr>
              <w:t>0</w:t>
            </w:r>
          </w:p>
        </w:tc>
      </w:tr>
    </w:tbl>
    <w:p w14:paraId="355E8654">
      <w:pPr>
        <w:pStyle w:val="2"/>
        <w:spacing w:line="560" w:lineRule="exact"/>
        <w:rPr>
          <w:rFonts w:hint="eastAsia"/>
        </w:rPr>
      </w:pPr>
    </w:p>
    <w:p w14:paraId="3A9D55A1">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60587460">
      <w:pPr>
        <w:pStyle w:val="3"/>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60EBC6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EB9D3BD">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5112B020">
            <w:pPr>
              <w:widowControl/>
              <w:spacing w:line="560" w:lineRule="exact"/>
              <w:jc w:val="center"/>
            </w:pPr>
            <w:r>
              <w:rPr>
                <w:rFonts w:hint="eastAsia" w:ascii="宋体" w:hAnsi="宋体" w:cs="宋体"/>
                <w:kern w:val="0"/>
                <w:sz w:val="20"/>
                <w:szCs w:val="20"/>
                <w:lang w:bidi="ar"/>
              </w:rPr>
              <w:t>申请人情况</w:t>
            </w:r>
          </w:p>
        </w:tc>
      </w:tr>
      <w:tr w14:paraId="075679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A3C63ED">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7C4BA58">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2D5062B6">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04035C42">
            <w:pPr>
              <w:widowControl/>
              <w:spacing w:line="240" w:lineRule="atLeast"/>
              <w:jc w:val="center"/>
            </w:pPr>
            <w:r>
              <w:rPr>
                <w:rFonts w:hint="eastAsia" w:ascii="宋体" w:hAnsi="宋体" w:cs="宋体"/>
                <w:kern w:val="0"/>
                <w:sz w:val="20"/>
                <w:szCs w:val="20"/>
                <w:lang w:bidi="ar"/>
              </w:rPr>
              <w:t>总计</w:t>
            </w:r>
          </w:p>
        </w:tc>
      </w:tr>
      <w:tr w14:paraId="0FD8BC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9FB3E45">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FCB57E1">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5D54565">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506B47B8">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0C73D58">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0F16E9EF">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5883EF3">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66EC51F">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BB40352">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4DB5417F">
            <w:pPr>
              <w:spacing w:line="560" w:lineRule="exact"/>
              <w:rPr>
                <w:rFonts w:hint="eastAsia" w:ascii="宋体"/>
                <w:sz w:val="24"/>
              </w:rPr>
            </w:pPr>
          </w:p>
        </w:tc>
      </w:tr>
      <w:tr w14:paraId="0435F9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26FBE56">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0298F5">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190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BE3062">
            <w:pPr>
              <w:widowControl/>
              <w:spacing w:line="560" w:lineRule="exact"/>
              <w:jc w:val="center"/>
              <w:rPr>
                <w:rFonts w:hint="default"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AA8839">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F7F51B">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342977">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E9C684">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4</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C0652A7">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214</w:t>
            </w:r>
            <w:r>
              <w:rPr>
                <w:rFonts w:ascii="Calibri" w:hAnsi="Calibri" w:cs="Calibri"/>
                <w:kern w:val="0"/>
                <w:sz w:val="20"/>
                <w:szCs w:val="20"/>
                <w:lang w:bidi="ar"/>
              </w:rPr>
              <w:t> </w:t>
            </w:r>
          </w:p>
        </w:tc>
      </w:tr>
      <w:tr w14:paraId="4C9073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2848756C">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AB328A">
            <w:pPr>
              <w:widowControl/>
              <w:spacing w:line="560" w:lineRule="exact"/>
              <w:jc w:val="center"/>
            </w:pPr>
            <w:r>
              <w:rPr>
                <w:rFonts w:hint="eastAsia" w:ascii="Calibri" w:hAnsi="Calibri" w:cs="Calibri"/>
                <w:kern w:val="0"/>
                <w:sz w:val="20"/>
                <w:szCs w:val="20"/>
                <w:lang w:val="en-US" w:eastAsia="zh-CN" w:bidi="ar"/>
              </w:rPr>
              <w:t>12</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9226B5">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282638">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55E636">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67E4D1">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759A4D">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0EA5DA4">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13</w:t>
            </w:r>
            <w:r>
              <w:rPr>
                <w:rFonts w:ascii="Calibri" w:hAnsi="Calibri" w:cs="Calibri"/>
                <w:kern w:val="0"/>
                <w:sz w:val="20"/>
                <w:szCs w:val="20"/>
                <w:lang w:bidi="ar"/>
              </w:rPr>
              <w:t> </w:t>
            </w:r>
          </w:p>
        </w:tc>
      </w:tr>
      <w:tr w14:paraId="362F32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9A364E1">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5F9F0B27">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DB1359">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97</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37B053">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1973C5">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FB9EAA">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1B6CCB">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D8634D">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3BA5576E">
            <w:pPr>
              <w:widowControl/>
              <w:spacing w:line="560" w:lineRule="exact"/>
              <w:jc w:val="center"/>
              <w:rPr>
                <w:rFonts w:hint="default"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105</w:t>
            </w:r>
          </w:p>
        </w:tc>
      </w:tr>
      <w:tr w14:paraId="32E904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73A12BD">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5BED49FB">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E3D042">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29D075">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738008">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A2C7C9">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535EF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DAB6F7">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DFDE668">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5C28B3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95DFD23">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1E871BC">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6CDA1722">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A6E5B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8C153D">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416722">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11DF65">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BA7551">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49ACF0">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64D468AD">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5DEC77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0A89A68">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B760E52">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2EC46F5">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B6DAA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D3F6C3">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6E0B73">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040843">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31964A">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3E9A35">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F135F4B">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58A32E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2F001B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2A55AA7">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F31D703">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46683C">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BF5065">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A0E8FE3">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D15235">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A723B2">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787CE7">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55D4796">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586FC5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D82749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2A96DAE">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E53F46C">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7D8D11">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ED91D4">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2D33EF">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4A6A79">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AC60B6">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33F5C4">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1424CAB">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1DD743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4693738">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9FAEC35">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931487F">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55FDB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12AB08">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6ACDB2">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7B7173">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180DF3">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4B4DE0">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2F22D8E">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0C2728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AA0E11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20DFE64">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58B377C0">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3618184A">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637D8157">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20A068C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35FA16B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16986E77">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center"/>
          </w:tcPr>
          <w:p w14:paraId="07EF5FE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4" w:space="0"/>
              <w:right w:val="single" w:color="auto" w:sz="8" w:space="0"/>
            </w:tcBorders>
            <w:noWrap w:val="0"/>
            <w:tcMar>
              <w:left w:w="57" w:type="dxa"/>
              <w:right w:w="57" w:type="dxa"/>
            </w:tcMar>
            <w:vAlign w:val="top"/>
          </w:tcPr>
          <w:p w14:paraId="3AFC60A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03048B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504F09F">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2914470">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623EBC8">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6502B7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6F08A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01EAA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CBD044">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49A086">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B806D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FDAC57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0A91A7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2EF1102">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461E5174">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9E2B42E">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65BF431">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385917">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308E8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57D85E">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2E067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1B4EF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7097D6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18299E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BDD33C2">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0086A53">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916EC01">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BB14CF4">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78</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87FC373">
            <w:pPr>
              <w:widowControl/>
              <w:spacing w:line="560" w:lineRule="exact"/>
              <w:jc w:val="center"/>
            </w:pPr>
            <w:r>
              <w:rPr>
                <w:rFonts w:hint="eastAsia" w:ascii="Calibri" w:hAnsi="Calibri" w:cs="Calibri"/>
                <w:kern w:val="0"/>
                <w:sz w:val="20"/>
                <w:szCs w:val="20"/>
                <w:lang w:val="en-US" w:eastAsia="zh-CN" w:bidi="ar"/>
              </w:rPr>
              <w:t>6</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452825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D71718D">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50ADEAC">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54A2E9B">
            <w:pPr>
              <w:widowControl/>
              <w:spacing w:line="560" w:lineRule="exact"/>
              <w:jc w:val="center"/>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931F23E">
            <w:pPr>
              <w:widowControl/>
              <w:spacing w:line="560" w:lineRule="exact"/>
              <w:jc w:val="center"/>
            </w:pPr>
            <w:r>
              <w:rPr>
                <w:rFonts w:hint="eastAsia" w:ascii="Calibri" w:hAnsi="Calibri" w:cs="Calibri"/>
                <w:kern w:val="0"/>
                <w:sz w:val="20"/>
                <w:szCs w:val="20"/>
                <w:lang w:val="en-US" w:eastAsia="zh-CN" w:bidi="ar"/>
              </w:rPr>
              <w:t>86</w:t>
            </w:r>
            <w:r>
              <w:rPr>
                <w:rFonts w:ascii="Calibri" w:hAnsi="Calibri" w:cs="Calibri"/>
                <w:kern w:val="0"/>
                <w:sz w:val="20"/>
                <w:szCs w:val="20"/>
                <w:lang w:bidi="ar"/>
              </w:rPr>
              <w:t> </w:t>
            </w:r>
          </w:p>
        </w:tc>
      </w:tr>
      <w:tr w14:paraId="0CC867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042268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2EB9383B">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7A955B7">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FBBF19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F0E19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FF76D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380692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23A13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A19D3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CD1AF5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6C6D04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9099D0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0AC168B">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7BAA80C6">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1A4DE04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7B1E9AB1">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48D26A9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378131BC">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4BA59A72">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center"/>
          </w:tcPr>
          <w:p w14:paraId="60E9AE8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14:paraId="0696F68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0EA7F5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C1C6C83">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D45E120">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22EFB477">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0AC28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920DAC">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78653A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C9DE9C">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EF98A8">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FC71F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46E573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2D88FF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609B3E2">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55E8108">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1727F82">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018C9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0ED42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A3514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21FA64">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DB846B">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DDF1F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8C4545F">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753B9A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65B419C">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2D9534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C35AF09">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DF3FAA">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97F8E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DB5B09">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372C0F">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ADEE25">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AC621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AD1161C">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44DFF4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E4D39DB">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C6FD315">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C1A721F">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9CBFA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0C712F">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6E6C3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DA8F4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DCDF48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FDF1F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9B20CC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756567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F6F1F68">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2128126">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B87E604">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B46CB8E">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D238C6C">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ACAA64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096F1A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2ADB5DA">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3D1494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25A56D67">
            <w:pPr>
              <w:widowControl/>
              <w:spacing w:line="560" w:lineRule="exact"/>
              <w:jc w:val="center"/>
              <w:rPr>
                <w:rFonts w:ascii="Calibri" w:hAnsi="Calibri" w:cs="Calibri"/>
                <w:kern w:val="0"/>
                <w:sz w:val="20"/>
                <w:szCs w:val="20"/>
                <w:lang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169B82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27D0DB1">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02FB27E4">
            <w:pPr>
              <w:widowControl/>
              <w:adjustRightInd w:val="0"/>
              <w:snapToGrid w:val="0"/>
              <w:spacing w:line="240" w:lineRule="atLeast"/>
              <w:jc w:val="left"/>
            </w:pPr>
            <w:r>
              <w:rPr>
                <w:rFonts w:hint="eastAsia" w:ascii="宋体" w:hAnsi="宋体" w:cs="宋体"/>
                <w:kern w:val="0"/>
                <w:sz w:val="20"/>
                <w:szCs w:val="20"/>
                <w:highlight w:val="none"/>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19EE5A53">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79F26A0">
            <w:pPr>
              <w:widowControl/>
              <w:spacing w:line="560" w:lineRule="exact"/>
              <w:jc w:val="center"/>
            </w:pPr>
            <w:r>
              <w:rPr>
                <w:rFonts w:hint="eastAsia" w:ascii="Calibri" w:hAnsi="Calibri" w:cs="Calibri"/>
                <w:kern w:val="0"/>
                <w:sz w:val="20"/>
                <w:szCs w:val="20"/>
                <w:lang w:val="en-US" w:eastAsia="zh-CN" w:bidi="ar"/>
              </w:rPr>
              <w:t>3</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3720AA">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B0EF2E">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E0CA3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A63154">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1B94C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B01C90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3</w:t>
            </w:r>
          </w:p>
        </w:tc>
      </w:tr>
      <w:tr w14:paraId="6315EA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322A2D1">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711D0454">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01663351">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68276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79BF55">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31C51A">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9F2E24">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18DCAD">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702C4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519B332">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15407C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5C903D6">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770F0051">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2F69951D">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C1159D">
            <w:pPr>
              <w:widowControl/>
              <w:spacing w:line="560" w:lineRule="exact"/>
              <w:jc w:val="center"/>
            </w:pPr>
            <w:r>
              <w:rPr>
                <w:rFonts w:hint="eastAsia" w:ascii="Calibri" w:hAnsi="Calibri" w:cs="Calibri"/>
                <w:kern w:val="0"/>
                <w:sz w:val="20"/>
                <w:szCs w:val="20"/>
                <w:lang w:val="en-US" w:eastAsia="zh-CN" w:bidi="ar"/>
              </w:rPr>
              <w:t>13</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577619">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6</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5098DF">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320D29">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E0D1D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1EA59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F51C406">
            <w:pPr>
              <w:widowControl/>
              <w:spacing w:line="560" w:lineRule="exact"/>
              <w:jc w:val="center"/>
              <w:rPr>
                <w:rFonts w:hint="default" w:eastAsia="宋体"/>
                <w:lang w:val="en-US" w:eastAsia="zh-CN"/>
              </w:rPr>
            </w:pPr>
            <w:r>
              <w:rPr>
                <w:rFonts w:hint="eastAsia" w:ascii="Calibri" w:hAnsi="Calibri" w:cs="Calibri"/>
                <w:kern w:val="0"/>
                <w:sz w:val="20"/>
                <w:szCs w:val="20"/>
                <w:lang w:val="en-US" w:eastAsia="zh-CN" w:bidi="ar"/>
              </w:rPr>
              <w:t>19</w:t>
            </w:r>
          </w:p>
        </w:tc>
      </w:tr>
      <w:tr w14:paraId="410703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329CDA9">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6CCCF8DE">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00CDFA">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191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88DE81">
            <w:pPr>
              <w:widowControl/>
              <w:spacing w:line="560" w:lineRule="exact"/>
              <w:jc w:val="center"/>
            </w:pPr>
            <w:r>
              <w:rPr>
                <w:rFonts w:hint="eastAsia" w:ascii="Calibri" w:hAnsi="Calibri" w:cs="Calibri"/>
                <w:kern w:val="0"/>
                <w:sz w:val="20"/>
                <w:szCs w:val="20"/>
                <w:lang w:val="en-US" w:eastAsia="zh-CN" w:bidi="ar"/>
              </w:rPr>
              <w:t>18</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D620D8">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F718EC">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F41260">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580AC8">
            <w:pPr>
              <w:widowControl/>
              <w:spacing w:line="560" w:lineRule="exact"/>
              <w:jc w:val="center"/>
            </w:pPr>
            <w:r>
              <w:rPr>
                <w:rFonts w:hint="eastAsia" w:ascii="Calibri" w:hAnsi="Calibri" w:cs="Calibri"/>
                <w:kern w:val="0"/>
                <w:sz w:val="20"/>
                <w:szCs w:val="20"/>
                <w:lang w:val="en-US" w:eastAsia="zh-CN" w:bidi="ar"/>
              </w:rPr>
              <w:t>4</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618D192">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213</w:t>
            </w:r>
          </w:p>
        </w:tc>
      </w:tr>
      <w:tr w14:paraId="4856E6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2AA60FD0">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E33F02F">
            <w:pPr>
              <w:widowControl/>
              <w:spacing w:line="560" w:lineRule="exact"/>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11</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44EF965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3</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6F98456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441F096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5BCD15D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23D9108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37352AB4">
            <w:pPr>
              <w:widowControl/>
              <w:spacing w:line="560" w:lineRule="exact"/>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14</w:t>
            </w:r>
          </w:p>
        </w:tc>
      </w:tr>
    </w:tbl>
    <w:p w14:paraId="5F916BCC">
      <w:pPr>
        <w:pStyle w:val="2"/>
        <w:spacing w:line="560" w:lineRule="exact"/>
        <w:ind w:left="420" w:leftChars="200"/>
        <w:rPr>
          <w:rFonts w:hint="eastAsia"/>
        </w:rPr>
      </w:pPr>
    </w:p>
    <w:p w14:paraId="71F55408">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57FD0651">
      <w:pPr>
        <w:widowControl/>
        <w:spacing w:line="560" w:lineRule="exact"/>
        <w:jc w:val="center"/>
      </w:pP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D027F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062A8FA">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9250766">
            <w:pPr>
              <w:widowControl/>
              <w:spacing w:line="560" w:lineRule="exact"/>
              <w:jc w:val="center"/>
            </w:pPr>
            <w:r>
              <w:rPr>
                <w:rFonts w:hint="eastAsia" w:ascii="宋体" w:hAnsi="宋体" w:cs="宋体"/>
                <w:kern w:val="0"/>
                <w:sz w:val="20"/>
                <w:szCs w:val="20"/>
                <w:lang w:bidi="ar"/>
              </w:rPr>
              <w:t>行政诉讼</w:t>
            </w:r>
          </w:p>
        </w:tc>
      </w:tr>
      <w:tr w14:paraId="64532C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A4C7AC1">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E9578C9">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D207FEE">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1E25B7C">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D3BF386">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AECE81">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90782D8">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6537FF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5517652">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078A75B">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7E887E4">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B3BFAE8">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05D5A1E">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CB4A820">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D731D6">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83B8A3">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BFDAE7">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7206D5E">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25F190">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85FB1AE">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0C66945">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8FD50C9">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05B36E0">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4250F7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97F77B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8</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AE6763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6A687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EB0F2A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37FE7A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9</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48BE1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4</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DC0139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671C09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9555F7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73187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5</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1B4A9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32945A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EC14CF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B98841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E930148">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w:t>
            </w:r>
          </w:p>
        </w:tc>
      </w:tr>
    </w:tbl>
    <w:p w14:paraId="3B8580E7">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64826B7B">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2025年，我委政府信息公开工作主要存在以下问题：一是依申请公开内容更加多元化，往往涉及多部门，办理难度和对业务水平要求进一步提升；二是部分工作人员对信息公开工作的重视程度仍需提升，主动公开意识有待加强。</w:t>
      </w:r>
    </w:p>
    <w:p w14:paraId="1C5E4977">
      <w:pPr>
        <w:widowControl/>
        <w:spacing w:line="560" w:lineRule="exact"/>
        <w:ind w:firstLine="672" w:firstLineChars="200"/>
        <w:jc w:val="left"/>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对此，我委加强了各部门间的联动，形成全面保障。通过组织学习政府信息公开行政复议、行政诉讼案例分析，提升整体业务水平；二是通过常态化考核，进一步压实各科室工作责任，提升工作人员主动公开、规范公开意识。</w:t>
      </w:r>
    </w:p>
    <w:p w14:paraId="4BD7037B">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324651D7">
      <w:pPr>
        <w:pStyle w:val="2"/>
        <w:spacing w:line="560" w:lineRule="exact"/>
        <w:ind w:firstLine="672" w:firstLineChars="200"/>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 xml:space="preserve">我单位本年度发出收费通知的件数和总金额以及实际收取的总金额均为0 </w:t>
      </w:r>
    </w:p>
    <w:p w14:paraId="2F32E478">
      <w:pPr>
        <w:rPr>
          <w:rFonts w:hint="eastAsia" w:ascii="仿宋_GB2312" w:hAnsi="宋体" w:eastAsia="仿宋_GB2312" w:cs="宋体"/>
          <w:spacing w:val="8"/>
          <w:kern w:val="0"/>
          <w:sz w:val="32"/>
          <w:szCs w:val="32"/>
          <w:lang w:val="en-US" w:eastAsia="zh-CN" w:bidi="ar-SA"/>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2E0059-8DA6-403D-A6AC-4313E4F272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040D4AF-56D7-4602-AB0E-D396204D7379}"/>
  </w:font>
  <w:font w:name="方正小标宋简体">
    <w:panose1 w:val="02000000000000000000"/>
    <w:charset w:val="86"/>
    <w:family w:val="auto"/>
    <w:pitch w:val="default"/>
    <w:sig w:usb0="00000001" w:usb1="08000000" w:usb2="00000000" w:usb3="00000000" w:csb0="00040000" w:csb1="00000000"/>
    <w:embedRegular r:id="rId3" w:fontKey="{6ADDCCA8-F705-48C3-AB81-0BF8C716A3CE}"/>
  </w:font>
  <w:font w:name="微软雅黑">
    <w:panose1 w:val="020B0503020204020204"/>
    <w:charset w:val="86"/>
    <w:family w:val="swiss"/>
    <w:pitch w:val="default"/>
    <w:sig w:usb0="80000287" w:usb1="2ACF3C50" w:usb2="00000016" w:usb3="00000000" w:csb0="0004001F" w:csb1="00000000"/>
    <w:embedRegular r:id="rId4" w:fontKey="{FE30FAEF-06F4-468A-A055-9C56D71E47BB}"/>
  </w:font>
  <w:font w:name="仿宋_GB2312">
    <w:altName w:val="仿宋"/>
    <w:panose1 w:val="02010609030101010101"/>
    <w:charset w:val="86"/>
    <w:family w:val="modern"/>
    <w:pitch w:val="default"/>
    <w:sig w:usb0="00000000" w:usb1="00000000" w:usb2="00000000" w:usb3="00000000" w:csb0="00040000" w:csb1="00000000"/>
    <w:embedRegular r:id="rId5" w:fontKey="{C5146C62-2C6E-4E6F-B667-C66CA7FE5D78}"/>
  </w:font>
  <w:font w:name="楷体">
    <w:panose1 w:val="02010609060101010101"/>
    <w:charset w:val="86"/>
    <w:family w:val="modern"/>
    <w:pitch w:val="default"/>
    <w:sig w:usb0="800002BF" w:usb1="38CF7CFA" w:usb2="00000016" w:usb3="00000000" w:csb0="00040001" w:csb1="00000000"/>
    <w:embedRegular r:id="rId6" w:fontKey="{858918E3-C280-4CBE-9854-30BCDABF70AC}"/>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A4CE2"/>
    <w:rsid w:val="00254AEA"/>
    <w:rsid w:val="01F054C3"/>
    <w:rsid w:val="025525C8"/>
    <w:rsid w:val="02C111A2"/>
    <w:rsid w:val="0468549D"/>
    <w:rsid w:val="04CC7EFC"/>
    <w:rsid w:val="053F21EB"/>
    <w:rsid w:val="056D35CD"/>
    <w:rsid w:val="063C36C4"/>
    <w:rsid w:val="07C77E63"/>
    <w:rsid w:val="090A4102"/>
    <w:rsid w:val="091C4FB8"/>
    <w:rsid w:val="0A554AE9"/>
    <w:rsid w:val="0ABD5AA4"/>
    <w:rsid w:val="0B8B7230"/>
    <w:rsid w:val="0DB4549C"/>
    <w:rsid w:val="0E153D88"/>
    <w:rsid w:val="0F003879"/>
    <w:rsid w:val="0F47034D"/>
    <w:rsid w:val="0F4D3C46"/>
    <w:rsid w:val="0FA07026"/>
    <w:rsid w:val="117E481E"/>
    <w:rsid w:val="130D7207"/>
    <w:rsid w:val="1359472B"/>
    <w:rsid w:val="139F3386"/>
    <w:rsid w:val="1489605F"/>
    <w:rsid w:val="15115C90"/>
    <w:rsid w:val="15364A70"/>
    <w:rsid w:val="153757B4"/>
    <w:rsid w:val="163A4CE2"/>
    <w:rsid w:val="17746ED0"/>
    <w:rsid w:val="182B108B"/>
    <w:rsid w:val="198A565B"/>
    <w:rsid w:val="1B805583"/>
    <w:rsid w:val="1BC81764"/>
    <w:rsid w:val="1C4D44CD"/>
    <w:rsid w:val="1D6860AC"/>
    <w:rsid w:val="1E9D5A6E"/>
    <w:rsid w:val="1F142915"/>
    <w:rsid w:val="1FA90C9C"/>
    <w:rsid w:val="1FBC1CC1"/>
    <w:rsid w:val="20DB545A"/>
    <w:rsid w:val="22C01DE3"/>
    <w:rsid w:val="22D87AB8"/>
    <w:rsid w:val="237605E7"/>
    <w:rsid w:val="246E5497"/>
    <w:rsid w:val="248601B7"/>
    <w:rsid w:val="256653DD"/>
    <w:rsid w:val="25A42544"/>
    <w:rsid w:val="26F2273F"/>
    <w:rsid w:val="27422201"/>
    <w:rsid w:val="28066CC4"/>
    <w:rsid w:val="2A350533"/>
    <w:rsid w:val="2C19659C"/>
    <w:rsid w:val="2CBE3794"/>
    <w:rsid w:val="2D5C3001"/>
    <w:rsid w:val="2DCE2F17"/>
    <w:rsid w:val="2EF16A8B"/>
    <w:rsid w:val="306D4949"/>
    <w:rsid w:val="32875F71"/>
    <w:rsid w:val="32A40C08"/>
    <w:rsid w:val="330D1DE7"/>
    <w:rsid w:val="334C0FDB"/>
    <w:rsid w:val="34540B9E"/>
    <w:rsid w:val="35792795"/>
    <w:rsid w:val="35917419"/>
    <w:rsid w:val="35B264C3"/>
    <w:rsid w:val="368051C0"/>
    <w:rsid w:val="37D30FEA"/>
    <w:rsid w:val="3910760D"/>
    <w:rsid w:val="39471924"/>
    <w:rsid w:val="397C30FC"/>
    <w:rsid w:val="39AB0820"/>
    <w:rsid w:val="3A065276"/>
    <w:rsid w:val="3A3A2FB7"/>
    <w:rsid w:val="3B3D60B7"/>
    <w:rsid w:val="3DB73929"/>
    <w:rsid w:val="3E6561D5"/>
    <w:rsid w:val="407A3E4C"/>
    <w:rsid w:val="41424C84"/>
    <w:rsid w:val="41754CC1"/>
    <w:rsid w:val="445F0BB5"/>
    <w:rsid w:val="44B1787D"/>
    <w:rsid w:val="46BE7812"/>
    <w:rsid w:val="47355A53"/>
    <w:rsid w:val="47C05221"/>
    <w:rsid w:val="484B5E05"/>
    <w:rsid w:val="490418A8"/>
    <w:rsid w:val="4A872CE7"/>
    <w:rsid w:val="4BF341D9"/>
    <w:rsid w:val="4C3F6508"/>
    <w:rsid w:val="4CC27C4E"/>
    <w:rsid w:val="4D061A26"/>
    <w:rsid w:val="4DFF2022"/>
    <w:rsid w:val="4EEE54B0"/>
    <w:rsid w:val="4FA91FC5"/>
    <w:rsid w:val="551A3AC6"/>
    <w:rsid w:val="55306836"/>
    <w:rsid w:val="558F0079"/>
    <w:rsid w:val="55A413FE"/>
    <w:rsid w:val="57532705"/>
    <w:rsid w:val="57EF304D"/>
    <w:rsid w:val="583A6E31"/>
    <w:rsid w:val="58DD5887"/>
    <w:rsid w:val="59BF0392"/>
    <w:rsid w:val="5A4D5E34"/>
    <w:rsid w:val="5A9D56BF"/>
    <w:rsid w:val="5AE16119"/>
    <w:rsid w:val="5B673BA8"/>
    <w:rsid w:val="5DBC0011"/>
    <w:rsid w:val="5DCA0805"/>
    <w:rsid w:val="5DF662D7"/>
    <w:rsid w:val="5E373688"/>
    <w:rsid w:val="5ECD42F7"/>
    <w:rsid w:val="5FB93A3F"/>
    <w:rsid w:val="5FBF36A8"/>
    <w:rsid w:val="600D5F4D"/>
    <w:rsid w:val="60805862"/>
    <w:rsid w:val="60C86179"/>
    <w:rsid w:val="637C07E5"/>
    <w:rsid w:val="63E7571F"/>
    <w:rsid w:val="643358B0"/>
    <w:rsid w:val="645D28B2"/>
    <w:rsid w:val="663F79F0"/>
    <w:rsid w:val="66AA5051"/>
    <w:rsid w:val="670D0E07"/>
    <w:rsid w:val="68486211"/>
    <w:rsid w:val="68532AB8"/>
    <w:rsid w:val="6B4B50EF"/>
    <w:rsid w:val="6C917AFC"/>
    <w:rsid w:val="6D3275E5"/>
    <w:rsid w:val="6FE13168"/>
    <w:rsid w:val="70B328CA"/>
    <w:rsid w:val="71EC3F1D"/>
    <w:rsid w:val="71FC318D"/>
    <w:rsid w:val="74EF1843"/>
    <w:rsid w:val="74F571CF"/>
    <w:rsid w:val="76CE4493"/>
    <w:rsid w:val="7A5F4261"/>
    <w:rsid w:val="7B4B4C88"/>
    <w:rsid w:val="7E5621B1"/>
    <w:rsid w:val="7F7E5C0A"/>
    <w:rsid w:val="7FD00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1837</Words>
  <Characters>1920</Characters>
  <Lines>0</Lines>
  <Paragraphs>0</Paragraphs>
  <TotalTime>20</TotalTime>
  <ScaleCrop>false</ScaleCrop>
  <LinksUpToDate>false</LinksUpToDate>
  <CharactersWithSpaces>2074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2026-01-13T01:28:00Z</dcterms:created>
  <dc:creator>Administrator</dc:creator>
  <cp:lastModifiedBy>yx</cp:lastModifiedBy>
  <dcterms:modified xsi:type="dcterms:W3CDTF">2026-01-16T06:07:18Z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479511FB3EBD458E866E83FCACD88493_13</vt:lpwstr>
  </property>
  <property fmtid="{D5CDD505-2E9C-101B-9397-08002B2CF9AE}" pid="4" name="KSOTemplateDocerSaveRecord">
    <vt:lpwstr>eyJoZGlkIjoiYTZhZjM5YzRjOWNmMDU3YWYxMzc2MzBmYTYwYzc3ZmUiLCJ1c2VySWQiOiI0OTQ5NTI4NTYifQ==</vt:lpwstr>
  </property>
</Properties>
</file>